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1F0CA027" w:rsidR="0054774C"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E24F01">
        <w:rPr>
          <w:rFonts w:ascii="Gill Sans MT" w:hAnsi="Gill Sans MT"/>
          <w:i/>
        </w:rPr>
        <w:t>5</w:t>
      </w:r>
      <w:r w:rsidR="004E523E">
        <w:rPr>
          <w:rFonts w:ascii="Gill Sans MT" w:hAnsi="Gill Sans MT"/>
          <w:i/>
        </w:rPr>
        <w:t xml:space="preserve"> </w:t>
      </w:r>
      <w:r w:rsidRPr="00157F6A">
        <w:rPr>
          <w:rFonts w:ascii="Gill Sans MT" w:hAnsi="Gill Sans MT"/>
          <w:i/>
        </w:rPr>
        <w:t>al Disciplinare di Gara</w:t>
      </w:r>
    </w:p>
    <w:p w14:paraId="4268B622" w14:textId="77777777" w:rsidR="00E24F01" w:rsidRPr="00157F6A" w:rsidRDefault="00E24F01"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p>
    <w:p w14:paraId="4B1797C2" w14:textId="77777777" w:rsidR="00E24F01" w:rsidRPr="00E24F01" w:rsidRDefault="00E24F01" w:rsidP="00E24F01">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r w:rsidRPr="00E24F01">
        <w:rPr>
          <w:rFonts w:ascii="Gill Sans MT" w:eastAsia="Times New Roman" w:hAnsi="Gill Sans MT" w:cs="Arial"/>
          <w:b/>
          <w:bCs/>
          <w:lang w:eastAsia="it-IT"/>
        </w:rPr>
        <w:t xml:space="preserve">Procedura aperta in ambito comunitario, ai sensi dell’art. 60 del </w:t>
      </w:r>
      <w:proofErr w:type="spellStart"/>
      <w:r w:rsidRPr="00E24F01">
        <w:rPr>
          <w:rFonts w:ascii="Gill Sans MT" w:eastAsia="Times New Roman" w:hAnsi="Gill Sans MT" w:cs="Arial"/>
          <w:b/>
          <w:bCs/>
          <w:lang w:eastAsia="it-IT"/>
        </w:rPr>
        <w:t>D.Lgs.</w:t>
      </w:r>
      <w:proofErr w:type="spellEnd"/>
      <w:r w:rsidRPr="00E24F01">
        <w:rPr>
          <w:rFonts w:ascii="Gill Sans MT" w:eastAsia="Times New Roman" w:hAnsi="Gill Sans MT" w:cs="Arial"/>
          <w:b/>
          <w:bCs/>
          <w:lang w:eastAsia="it-IT"/>
        </w:rPr>
        <w:t xml:space="preserve"> 50/2016, volta alla stipulazione di un accordo quadro avente ad oggetto l’acquisizione di servizi di ideazione, progettazione e realizzazione grafica di materiali e strumenti di comunicazione di Lazio Innova - CIG 8628960B0C - CUP F59C21000380008</w:t>
      </w:r>
    </w:p>
    <w:p w14:paraId="6325BB2D" w14:textId="77777777" w:rsidR="00E24F01" w:rsidRPr="00E24F01" w:rsidRDefault="00E24F01" w:rsidP="00E24F01">
      <w:pPr>
        <w:pBdr>
          <w:top w:val="single" w:sz="4" w:space="1" w:color="auto"/>
          <w:left w:val="single" w:sz="4" w:space="4" w:color="auto"/>
          <w:bottom w:val="single" w:sz="4" w:space="1" w:color="auto"/>
          <w:right w:val="single" w:sz="4" w:space="0" w:color="auto"/>
        </w:pBdr>
        <w:spacing w:before="120" w:after="120" w:line="240" w:lineRule="auto"/>
        <w:rPr>
          <w:rFonts w:ascii="Gill Sans MT" w:eastAsia="Times New Roman" w:hAnsi="Gill Sans MT" w:cs="Arial"/>
          <w:b/>
          <w:bCs/>
          <w:lang w:eastAsia="it-IT"/>
        </w:rPr>
      </w:pPr>
    </w:p>
    <w:p w14:paraId="14415B7B" w14:textId="3E35550D" w:rsidR="0054774C" w:rsidRPr="00E24F01" w:rsidRDefault="00E24F01" w:rsidP="00E24F01">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E24F01">
        <w:rPr>
          <w:rFonts w:ascii="Gill Sans MT" w:eastAsia="Times New Roman" w:hAnsi="Gill Sans MT" w:cs="Arial"/>
          <w:b/>
          <w:bCs/>
          <w:lang w:eastAsia="it-IT"/>
        </w:rPr>
        <w:t>(CPV): CPV79341000-6 “Servizi Pubblicitari"; 22462000-6 “Materiale Pubblicitario”</w:t>
      </w:r>
    </w:p>
    <w:p w14:paraId="0AD8DFA4"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bookmarkStart w:id="0" w:name="_GoBack"/>
      <w:bookmarkEnd w:id="0"/>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1B890C56" w:rsidR="00157F6A" w:rsidRPr="003C1A43" w:rsidRDefault="00E24F01" w:rsidP="00E24F01">
            <w:pPr>
              <w:spacing w:before="120" w:after="120" w:line="240" w:lineRule="auto"/>
              <w:rPr>
                <w:rFonts w:ascii="Gill Sans MT" w:hAnsi="Gill Sans MT" w:cs="Arial"/>
                <w:sz w:val="18"/>
                <w:szCs w:val="18"/>
              </w:rPr>
            </w:pPr>
            <w:r w:rsidRPr="00E24F01">
              <w:rPr>
                <w:rFonts w:ascii="Gill Sans MT" w:hAnsi="Gill Sans MT" w:cs="Arial"/>
                <w:sz w:val="18"/>
                <w:szCs w:val="18"/>
              </w:rPr>
              <w:t xml:space="preserve">Procedura aperta in ambito comunitario, ai sensi dell’art. 60 del </w:t>
            </w:r>
            <w:proofErr w:type="spellStart"/>
            <w:r w:rsidRPr="00E24F01">
              <w:rPr>
                <w:rFonts w:ascii="Gill Sans MT" w:hAnsi="Gill Sans MT" w:cs="Arial"/>
                <w:sz w:val="18"/>
                <w:szCs w:val="18"/>
              </w:rPr>
              <w:t>D.Lgs.</w:t>
            </w:r>
            <w:proofErr w:type="spellEnd"/>
            <w:r w:rsidRPr="00E24F01">
              <w:rPr>
                <w:rFonts w:ascii="Gill Sans MT" w:hAnsi="Gill Sans MT" w:cs="Arial"/>
                <w:sz w:val="18"/>
                <w:szCs w:val="18"/>
              </w:rPr>
              <w:t xml:space="preserve"> 50/2016, volta alla stipulazione di un accordo quadro avente ad oggetto l’acquisizione di servizi di ideazione, progettazione e realizzazione grafica di materiali e strumenti di comunicazione di Lazio Innova </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C235C8A" w14:textId="77777777" w:rsidR="00E24F01" w:rsidRDefault="00E24F01" w:rsidP="00157F6A">
            <w:pPr>
              <w:spacing w:before="120" w:after="120" w:line="240" w:lineRule="auto"/>
              <w:rPr>
                <w:rFonts w:ascii="Gill Sans MT" w:hAnsi="Gill Sans MT" w:cs="Arial"/>
                <w:b/>
                <w:sz w:val="18"/>
                <w:szCs w:val="18"/>
                <w:highlight w:val="yellow"/>
              </w:rPr>
            </w:pPr>
            <w:r w:rsidRPr="00E24F01">
              <w:rPr>
                <w:rFonts w:ascii="Gill Sans MT" w:hAnsi="Gill Sans MT" w:cs="Arial"/>
                <w:sz w:val="18"/>
                <w:szCs w:val="18"/>
              </w:rPr>
              <w:t>8628960B0C</w:t>
            </w:r>
            <w:r w:rsidRPr="003C1A43">
              <w:rPr>
                <w:rFonts w:ascii="Gill Sans MT" w:hAnsi="Gill Sans MT" w:cs="Arial"/>
                <w:b/>
                <w:sz w:val="18"/>
                <w:szCs w:val="18"/>
                <w:highlight w:val="yellow"/>
              </w:rPr>
              <w:t xml:space="preserve"> </w:t>
            </w:r>
          </w:p>
          <w:p w14:paraId="109C268E" w14:textId="35A5F7F9" w:rsidR="00587709" w:rsidRPr="00E24F01" w:rsidRDefault="00E24F01" w:rsidP="00157F6A">
            <w:pPr>
              <w:spacing w:before="120" w:after="120" w:line="240" w:lineRule="auto"/>
              <w:rPr>
                <w:rFonts w:ascii="Gill Sans MT" w:hAnsi="Gill Sans MT" w:cs="Arial"/>
                <w:b/>
                <w:sz w:val="18"/>
                <w:szCs w:val="18"/>
              </w:rPr>
            </w:pPr>
            <w:r w:rsidRPr="00E24F01">
              <w:rPr>
                <w:rFonts w:ascii="Gill Sans MT" w:hAnsi="Gill Sans MT" w:cs="Arial"/>
                <w:sz w:val="18"/>
                <w:szCs w:val="18"/>
              </w:rPr>
              <w:t>F59C21000380008</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ED106F"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ED106F"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ED106F"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ED106F"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ED106F"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ED106F"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ED106F"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ED106F"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ED106F"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w:t>
            </w:r>
            <w:proofErr w:type="gramStart"/>
            <w:r w:rsidRPr="00157F6A">
              <w:rPr>
                <w:rFonts w:ascii="Gill Sans MT" w:hAnsi="Gill Sans MT" w:cs="Arial"/>
                <w:color w:val="000000"/>
                <w:sz w:val="18"/>
                <w:szCs w:val="18"/>
              </w:rPr>
              <w:t>emanazione,  riferimento</w:t>
            </w:r>
            <w:proofErr w:type="gramEnd"/>
            <w:r w:rsidRPr="00157F6A">
              <w:rPr>
                <w:rFonts w:ascii="Gill Sans MT" w:hAnsi="Gill Sans MT" w:cs="Arial"/>
                <w:color w:val="000000"/>
                <w:sz w:val="18"/>
                <w:szCs w:val="18"/>
              </w:rPr>
              <w:t xml:space="preserve">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ED106F"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ED106F"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ED106F"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ED106F"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w:t>
            </w:r>
            <w:proofErr w:type="gramStart"/>
            <w:r w:rsidRPr="00157F6A">
              <w:rPr>
                <w:rFonts w:ascii="Gill Sans MT" w:hAnsi="Gill Sans MT" w:cs="Arial"/>
                <w:color w:val="000000"/>
                <w:sz w:val="18"/>
                <w:szCs w:val="18"/>
              </w:rPr>
              <w:t>o  della</w:t>
            </w:r>
            <w:proofErr w:type="gramEnd"/>
            <w:r w:rsidRPr="00157F6A">
              <w:rPr>
                <w:rFonts w:ascii="Gill Sans MT" w:hAnsi="Gill Sans MT" w:cs="Arial"/>
                <w:color w:val="000000"/>
                <w:sz w:val="18"/>
                <w:szCs w:val="18"/>
              </w:rPr>
              <w:t xml:space="preserve">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 xml:space="preserve">dati identificativi delle persone condannate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w:t>
            </w:r>
            <w:proofErr w:type="gramStart"/>
            <w:r w:rsidRPr="00157F6A">
              <w:rPr>
                <w:rFonts w:ascii="Gill Sans MT" w:hAnsi="Gill Sans MT" w:cs="Arial"/>
                <w:sz w:val="18"/>
                <w:szCs w:val="18"/>
              </w:rPr>
              <w:t>documentazione)(</w:t>
            </w:r>
            <w:proofErr w:type="gramEnd"/>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lastRenderedPageBreak/>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lastRenderedPageBreak/>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lastRenderedPageBreak/>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lastRenderedPageBreak/>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ricorrono i casi previsti all’articolo 4, primo comma, della Legge 24 novembre 1981, n. 689 (articolo 80, comma 5, lettera l</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(numero dipendenti e/o </w:t>
            </w:r>
            <w:proofErr w:type="gramStart"/>
            <w:r w:rsidRPr="00157F6A">
              <w:rPr>
                <w:rFonts w:ascii="Gill Sans MT" w:hAnsi="Gill Sans MT" w:cs="Arial"/>
                <w:color w:val="000000"/>
                <w:sz w:val="18"/>
                <w:szCs w:val="18"/>
              </w:rPr>
              <w:t>altro )</w:t>
            </w:r>
            <w:proofErr w:type="gramEnd"/>
            <w:r w:rsidRPr="00157F6A">
              <w:rPr>
                <w:rFonts w:ascii="Gill Sans MT" w:hAnsi="Gill Sans MT" w:cs="Arial"/>
                <w:color w:val="000000"/>
                <w:sz w:val="18"/>
                <w:szCs w:val="18"/>
              </w:rPr>
              <w:t xml:space="preserve">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1C2CF31B"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0C6376">
        <w:rPr>
          <w:rFonts w:ascii="Gill Sans MT" w:hAnsi="Gill Sans MT" w:cs="Arial"/>
          <w:i/>
          <w:sz w:val="18"/>
          <w:szCs w:val="18"/>
        </w:rPr>
        <w:t xml:space="preserve">Procedura </w:t>
      </w:r>
      <w:r w:rsidR="00A749BE" w:rsidRPr="00A749BE">
        <w:rPr>
          <w:rFonts w:ascii="Gill Sans MT" w:hAnsi="Gill Sans MT" w:cs="Arial"/>
          <w:i/>
          <w:sz w:val="18"/>
          <w:szCs w:val="18"/>
          <w:highlight w:val="yellow"/>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40A24EC" w14:textId="32E782E5" w:rsidR="00F924DA" w:rsidRPr="00ED106F" w:rsidRDefault="00F924DA" w:rsidP="00ED106F">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C6376">
              <w:rPr>
                <w:rFonts w:ascii="Gill Sans MT" w:hAnsi="Gill Sans MT"/>
                <w:bCs/>
                <w:noProof/>
                <w:sz w:val="20"/>
              </w:rPr>
              <w:t>23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C6376">
              <w:rPr>
                <w:rFonts w:ascii="Gill Sans MT" w:hAnsi="Gill Sans MT"/>
                <w:bCs/>
                <w:noProof/>
                <w:sz w:val="20"/>
              </w:rPr>
              <w:t>25</w:t>
            </w:r>
            <w:r w:rsidRPr="00027B01">
              <w:rPr>
                <w:rFonts w:ascii="Gill Sans MT" w:hAnsi="Gill Sans MT"/>
                <w:bCs/>
                <w:sz w:val="20"/>
              </w:rPr>
              <w:fldChar w:fldCharType="end"/>
            </w: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4E5408CA" w:rsidR="00F924DA" w:rsidRPr="00ED106F" w:rsidRDefault="00F924DA" w:rsidP="00ED106F">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A749BE">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A749BE">
              <w:rPr>
                <w:rFonts w:ascii="Gill Sans MT" w:hAnsi="Gill Sans MT"/>
                <w:bCs/>
                <w:noProof/>
                <w:sz w:val="20"/>
              </w:rPr>
              <w:t>25</w:t>
            </w:r>
            <w:r w:rsidRPr="007F3FBC">
              <w:rPr>
                <w:rFonts w:ascii="Gill Sans MT" w:hAnsi="Gill Sans MT"/>
                <w:bCs/>
                <w:sz w:val="20"/>
              </w:rPr>
              <w:fldChar w:fldCharType="end"/>
            </w: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011A"/>
    <w:rsid w:val="00020539"/>
    <w:rsid w:val="00022F8A"/>
    <w:rsid w:val="00027B01"/>
    <w:rsid w:val="000534A8"/>
    <w:rsid w:val="00064222"/>
    <w:rsid w:val="000A4DC6"/>
    <w:rsid w:val="000B04C5"/>
    <w:rsid w:val="000C6376"/>
    <w:rsid w:val="000E7D93"/>
    <w:rsid w:val="00123998"/>
    <w:rsid w:val="00125ECB"/>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63118"/>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8717B"/>
    <w:rsid w:val="004A37B2"/>
    <w:rsid w:val="004A3FB5"/>
    <w:rsid w:val="004E523E"/>
    <w:rsid w:val="00523216"/>
    <w:rsid w:val="00526A7E"/>
    <w:rsid w:val="005364C6"/>
    <w:rsid w:val="00540344"/>
    <w:rsid w:val="00542DD9"/>
    <w:rsid w:val="0054774C"/>
    <w:rsid w:val="0055414D"/>
    <w:rsid w:val="00571CDA"/>
    <w:rsid w:val="0058151B"/>
    <w:rsid w:val="00587709"/>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749BE"/>
    <w:rsid w:val="00A809F9"/>
    <w:rsid w:val="00A8201F"/>
    <w:rsid w:val="00AB2EEF"/>
    <w:rsid w:val="00AD2E7B"/>
    <w:rsid w:val="00B419A1"/>
    <w:rsid w:val="00B4228E"/>
    <w:rsid w:val="00B62FB5"/>
    <w:rsid w:val="00B665BB"/>
    <w:rsid w:val="00B74C43"/>
    <w:rsid w:val="00B82E37"/>
    <w:rsid w:val="00BD2B0C"/>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24F01"/>
    <w:rsid w:val="00E41AF0"/>
    <w:rsid w:val="00ED106F"/>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F119-186C-4710-BEC9-374AEE95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6820</Words>
  <Characters>38880</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7</cp:revision>
  <cp:lastPrinted>2019-07-31T16:27:00Z</cp:lastPrinted>
  <dcterms:created xsi:type="dcterms:W3CDTF">2019-08-05T13:24:00Z</dcterms:created>
  <dcterms:modified xsi:type="dcterms:W3CDTF">2021-02-11T10:22:00Z</dcterms:modified>
</cp:coreProperties>
</file>