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0FD0" w14:textId="4BBC4330" w:rsidR="0054774C" w:rsidRPr="002222F4" w:rsidRDefault="002222F4" w:rsidP="002222F4">
      <w:pPr>
        <w:spacing w:before="120" w:after="120" w:line="240" w:lineRule="auto"/>
        <w:jc w:val="center"/>
        <w:rPr>
          <w:rFonts w:ascii="Gill Sans MT" w:hAnsi="Gill Sans MT"/>
          <w:b/>
          <w:bCs/>
        </w:rPr>
      </w:pPr>
      <w:r w:rsidRPr="002222F4">
        <w:rPr>
          <w:rFonts w:ascii="Gill Sans MT" w:hAnsi="Gill Sans MT" w:cs="Arial"/>
          <w:b/>
          <w:bCs/>
          <w:sz w:val="28"/>
        </w:rPr>
        <w:t>Procedura aperta per l’affidamento dei servizi di Arranger</w:t>
      </w:r>
    </w:p>
    <w:p w14:paraId="79EA6622" w14:textId="77777777" w:rsidR="002222F4" w:rsidRDefault="002222F4" w:rsidP="002222F4">
      <w:pPr>
        <w:pStyle w:val="Corpotesto"/>
        <w:shd w:val="clear" w:color="auto" w:fill="FFFFFF"/>
        <w:ind w:right="51"/>
        <w:jc w:val="center"/>
        <w:rPr>
          <w:rFonts w:ascii="Arial" w:hAnsi="Arial" w:cs="Arial"/>
          <w:b/>
          <w:bCs/>
          <w:iCs/>
        </w:rPr>
      </w:pPr>
    </w:p>
    <w:p w14:paraId="4F03A9D4" w14:textId="61E1F2F1" w:rsidR="007F3FBC" w:rsidRPr="00157F6A" w:rsidRDefault="002222F4" w:rsidP="002222F4">
      <w:pPr>
        <w:spacing w:before="120" w:after="120" w:line="240" w:lineRule="auto"/>
        <w:jc w:val="center"/>
        <w:rPr>
          <w:rFonts w:ascii="Gill Sans MT" w:hAnsi="Gill Sans MT"/>
          <w:b/>
          <w:bCs/>
        </w:rPr>
      </w:pPr>
      <w:r w:rsidRPr="002222F4">
        <w:rPr>
          <w:rFonts w:ascii="Gill Sans MT" w:hAnsi="Gill Sans MT" w:cs="Arial"/>
          <w:b/>
          <w:bCs/>
          <w:sz w:val="28"/>
        </w:rPr>
        <w:t>Allegato 2 – Documento di gara unico europeo</w:t>
      </w: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1241E81" w:rsidR="00157F6A" w:rsidRPr="002222F4" w:rsidRDefault="002222F4" w:rsidP="002222F4">
            <w:pPr>
              <w:spacing w:before="120" w:after="120" w:line="240" w:lineRule="auto"/>
              <w:rPr>
                <w:rFonts w:ascii="Gill Sans MT" w:hAnsi="Gill Sans MT" w:cs="Arial"/>
                <w:color w:val="000000"/>
                <w:sz w:val="18"/>
                <w:szCs w:val="18"/>
              </w:rPr>
            </w:pPr>
            <w:r w:rsidRPr="002222F4">
              <w:rPr>
                <w:rFonts w:ascii="Gill Sans MT" w:hAnsi="Gill Sans MT" w:cs="Arial"/>
                <w:color w:val="000000"/>
                <w:sz w:val="18"/>
                <w:szCs w:val="18"/>
              </w:rPr>
              <w:t>Procedura aperta sopra soglia comunitaria ex art. 60 del D.Lgs. n. 50/2016 e ss.mm.ii. per l'affidamento del servizio di arranger in favore di Lazio Innova SPA</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F93DA2F" w14:textId="2325976B" w:rsidR="00587709" w:rsidRPr="003C1A43" w:rsidRDefault="0039172E" w:rsidP="00157F6A">
            <w:pPr>
              <w:spacing w:before="120" w:after="120" w:line="240" w:lineRule="auto"/>
              <w:rPr>
                <w:rFonts w:ascii="Gill Sans MT" w:hAnsi="Gill Sans MT" w:cs="Arial"/>
                <w:b/>
                <w:sz w:val="18"/>
                <w:szCs w:val="18"/>
                <w:highlight w:val="yellow"/>
              </w:rPr>
            </w:pPr>
            <w:r w:rsidRPr="0039172E">
              <w:rPr>
                <w:rFonts w:ascii="Gill Sans MT" w:hAnsi="Gill Sans MT" w:cs="Arial"/>
                <w:b/>
                <w:sz w:val="18"/>
                <w:szCs w:val="18"/>
              </w:rPr>
              <w:t>93370991D9</w:t>
            </w:r>
            <w:r w:rsidRPr="0039172E">
              <w:rPr>
                <w:rFonts w:ascii="Gill Sans MT" w:hAnsi="Gill Sans MT" w:cs="Arial"/>
                <w:b/>
                <w:sz w:val="18"/>
                <w:szCs w:val="18"/>
                <w:highlight w:val="yellow"/>
              </w:rPr>
              <w:t xml:space="preserve"> </w:t>
            </w:r>
          </w:p>
          <w:p w14:paraId="002F096F" w14:textId="77777777" w:rsidR="004D4FD5" w:rsidRDefault="004D4FD5" w:rsidP="00157F6A">
            <w:pPr>
              <w:spacing w:before="120" w:after="120" w:line="240" w:lineRule="auto"/>
              <w:rPr>
                <w:rFonts w:ascii="Gill Sans MT" w:hAnsi="Gill Sans MT" w:cs="Arial"/>
                <w:b/>
                <w:sz w:val="18"/>
                <w:szCs w:val="18"/>
              </w:rPr>
            </w:pPr>
            <w:r w:rsidRPr="004D4FD5">
              <w:rPr>
                <w:rFonts w:ascii="Gill Sans MT" w:hAnsi="Gill Sans MT" w:cs="Arial"/>
                <w:b/>
                <w:sz w:val="18"/>
                <w:szCs w:val="18"/>
              </w:rPr>
              <w:t xml:space="preserve">F88B22000710006 </w:t>
            </w:r>
          </w:p>
          <w:p w14:paraId="109C268E" w14:textId="35C92221" w:rsidR="00587709" w:rsidRPr="00157F6A" w:rsidRDefault="00587709" w:rsidP="00157F6A">
            <w:pPr>
              <w:spacing w:before="120" w:after="120" w:line="240" w:lineRule="auto"/>
              <w:rPr>
                <w:rFonts w:ascii="Gill Sans MT" w:hAnsi="Gill Sans MT"/>
                <w:b/>
                <w:i/>
                <w:color w:val="000000"/>
                <w:sz w:val="18"/>
                <w:szCs w:val="18"/>
              </w:rPr>
            </w:pPr>
            <w:r w:rsidRPr="00157F6A">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lastRenderedPageBreak/>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E745D8"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lastRenderedPageBreak/>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E745D8"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E745D8"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E745D8"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E745D8"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D.Lgs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lastRenderedPageBreak/>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lastRenderedPageBreak/>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0" w:name="_DV_C1915"/>
      <w:bookmarkEnd w:id="0"/>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E745D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per quanto a conoscenza, anche per conto dei soggetti di cui all’art. 80, comma 3 del D.Lgs.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E745D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esclusivamente dal sottoscritto per sé medesimo, in quanto gli altri soggetti di cui all’art. 80, comma 3 del D.Lgs.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E745D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lastRenderedPageBreak/>
              <w:t>in quanto gli altri soggetti di cui all’art. 80, comma 3 del D.Lgs.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dati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  ]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  ]</w:t>
            </w:r>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 ]</w:t>
            </w:r>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del periodo d'esclusione [..…]</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  ],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lastRenderedPageBreak/>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lastRenderedPageBreak/>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lastRenderedPageBreak/>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lastRenderedPageBreak/>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lastRenderedPageBreak/>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gravi illeciti professionali</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D.Lgs.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esclusivamente dal sottoscritto per sé medesimo, in quanto gli altri soggetti di cui all’art. 80, comma 3 del D.Lgs.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lastRenderedPageBreak/>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quanto gli altri soggetti di cui all’art. 80, comma 3 del D.Lgs.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lastRenderedPageBreak/>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 xml:space="preserve">ricorrono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 xml:space="preserve">si trova rispetto ad un altro partecipante alla medesima procedura di affidamento, in una situazione di controllo di cui </w:t>
            </w:r>
            <w:r w:rsidRPr="00157F6A">
              <w:rPr>
                <w:rFonts w:ascii="Gill Sans MT" w:hAnsi="Gill Sans MT" w:cs="Arial"/>
                <w:color w:val="000000"/>
                <w:sz w:val="18"/>
                <w:szCs w:val="18"/>
              </w:rPr>
              <w:lastRenderedPageBreak/>
              <w:t>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(numero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a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 …]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w:t>
            </w:r>
            <w:r w:rsidRPr="00157F6A">
              <w:rPr>
                <w:rFonts w:ascii="Gill Sans MT" w:hAnsi="Gill Sans MT" w:cs="Arial"/>
                <w:color w:val="000000"/>
                <w:sz w:val="18"/>
                <w:szCs w:val="18"/>
              </w:rPr>
              <w:lastRenderedPageBreak/>
              <w:t xml:space="preserve">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lastRenderedPageBreak/>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lastRenderedPageBreak/>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1" w:name="_DV_M4301"/>
            <w:bookmarkStart w:id="2" w:name="_DV_M4300"/>
            <w:bookmarkEnd w:id="1"/>
            <w:bookmarkEnd w:id="2"/>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lastRenderedPageBreak/>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lastRenderedPageBreak/>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lastRenderedPageBreak/>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645054F0" w:rsidR="00157F6A" w:rsidRPr="00157F6A" w:rsidRDefault="00157F6A" w:rsidP="00E745D8">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Il sottoscritto/I sottoscritti autorizza/autorizzano formalmente </w:t>
      </w:r>
      <w:r w:rsidR="002079A7">
        <w:rPr>
          <w:rFonts w:ascii="Gill Sans MT" w:hAnsi="Gill Sans MT" w:cs="Arial"/>
          <w:i/>
          <w:sz w:val="18"/>
          <w:szCs w:val="18"/>
        </w:rPr>
        <w:t>Lazio Innova S.p.A.</w:t>
      </w:r>
      <w:r w:rsidRPr="00157F6A">
        <w:rPr>
          <w:rFonts w:ascii="Gill Sans MT" w:hAnsi="Gill Sans MT" w:cs="Arial"/>
          <w:i/>
          <w:sz w:val="18"/>
          <w:szCs w:val="18"/>
        </w:rPr>
        <w:t xml:space="preserve"> ad accedere ai documenti complementari alle informazioni, di cui </w:t>
      </w:r>
      <w:r w:rsidR="002079A7">
        <w:rPr>
          <w:rFonts w:ascii="Gill Sans MT" w:hAnsi="Gill Sans MT" w:cs="Arial"/>
          <w:i/>
          <w:sz w:val="18"/>
          <w:szCs w:val="18"/>
        </w:rPr>
        <w:t>a</w:t>
      </w:r>
      <w:r w:rsidRPr="00157F6A">
        <w:rPr>
          <w:rFonts w:ascii="Gill Sans MT" w:hAnsi="Gill Sans MT" w:cs="Arial"/>
          <w:i/>
          <w:sz w:val="18"/>
          <w:szCs w:val="18"/>
        </w:rPr>
        <w:t>l presente documento di gara unico europeo, ai fini della</w:t>
      </w:r>
      <w:r w:rsidRPr="00157F6A">
        <w:rPr>
          <w:rFonts w:ascii="Gill Sans MT" w:hAnsi="Gill Sans MT" w:cs="Arial"/>
          <w:sz w:val="18"/>
          <w:szCs w:val="18"/>
        </w:rPr>
        <w:t xml:space="preserve"> </w:t>
      </w:r>
      <w:r w:rsidR="00E745D8" w:rsidRPr="00E745D8">
        <w:rPr>
          <w:rFonts w:ascii="Gill Sans MT" w:hAnsi="Gill Sans MT" w:cs="Arial"/>
          <w:i/>
          <w:sz w:val="18"/>
          <w:szCs w:val="18"/>
        </w:rPr>
        <w:t xml:space="preserve">procedura aperta sopra soglia comunitaria ex art. 60 del d.lgs. n. 50/2016 e ss.mm.ii. per l'affidamento del servizio di arranger in favore di </w:t>
      </w:r>
      <w:r w:rsidR="00E745D8">
        <w:rPr>
          <w:rFonts w:ascii="Gill Sans MT" w:hAnsi="Gill Sans MT" w:cs="Arial"/>
          <w:i/>
          <w:sz w:val="18"/>
          <w:szCs w:val="18"/>
        </w:rPr>
        <w:t>L</w:t>
      </w:r>
      <w:r w:rsidR="00E745D8" w:rsidRPr="00E745D8">
        <w:rPr>
          <w:rFonts w:ascii="Gill Sans MT" w:hAnsi="Gill Sans MT" w:cs="Arial"/>
          <w:i/>
          <w:sz w:val="18"/>
          <w:szCs w:val="18"/>
        </w:rPr>
        <w:t xml:space="preserve">azio </w:t>
      </w:r>
      <w:r w:rsidR="00E745D8">
        <w:rPr>
          <w:rFonts w:ascii="Gill Sans MT" w:hAnsi="Gill Sans MT" w:cs="Arial"/>
          <w:i/>
          <w:sz w:val="18"/>
          <w:szCs w:val="18"/>
        </w:rPr>
        <w:t>I</w:t>
      </w:r>
      <w:r w:rsidR="00E745D8" w:rsidRPr="00E745D8">
        <w:rPr>
          <w:rFonts w:ascii="Gill Sans MT" w:hAnsi="Gill Sans MT" w:cs="Arial"/>
          <w:i/>
          <w:sz w:val="18"/>
          <w:szCs w:val="18"/>
        </w:rPr>
        <w:t xml:space="preserve">nnova </w:t>
      </w:r>
      <w:r w:rsidR="00E745D8">
        <w:rPr>
          <w:rFonts w:ascii="Gill Sans MT" w:hAnsi="Gill Sans MT" w:cs="Arial"/>
          <w:i/>
          <w:sz w:val="18"/>
          <w:szCs w:val="18"/>
        </w:rPr>
        <w:t>S.</w:t>
      </w:r>
      <w:r w:rsidR="00E745D8" w:rsidRPr="00E745D8">
        <w:rPr>
          <w:rFonts w:ascii="Gill Sans MT" w:hAnsi="Gill Sans MT" w:cs="Arial"/>
          <w:i/>
          <w:sz w:val="18"/>
          <w:szCs w:val="18"/>
        </w:rPr>
        <w:t>p</w:t>
      </w:r>
      <w:r w:rsidR="00E745D8">
        <w:rPr>
          <w:rFonts w:ascii="Gill Sans MT" w:hAnsi="Gill Sans MT" w:cs="Arial"/>
          <w:i/>
          <w:sz w:val="18"/>
          <w:szCs w:val="18"/>
        </w:rPr>
        <w:t>.</w:t>
      </w:r>
      <w:r w:rsidR="00E745D8" w:rsidRPr="00E745D8">
        <w:rPr>
          <w:rFonts w:ascii="Gill Sans MT" w:hAnsi="Gill Sans MT" w:cs="Arial"/>
          <w:i/>
          <w:sz w:val="18"/>
          <w:szCs w:val="18"/>
        </w:rPr>
        <w:t>a</w:t>
      </w:r>
      <w:r w:rsidR="00E745D8">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3" w:name="_DV_C939"/>
      <w:bookmarkEnd w:id="3"/>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4CC4750C" w:rsidR="00F924DA" w:rsidRPr="00131B78" w:rsidRDefault="00F924DA" w:rsidP="00131B78">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C6376">
              <w:rPr>
                <w:rFonts w:ascii="Gill Sans MT" w:hAnsi="Gill Sans MT"/>
                <w:bCs/>
                <w:noProof/>
                <w:sz w:val="20"/>
              </w:rPr>
              <w:t>23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C6376">
              <w:rPr>
                <w:rFonts w:ascii="Gill Sans MT" w:hAnsi="Gill Sans MT"/>
                <w:bCs/>
                <w:noProof/>
                <w:sz w:val="20"/>
              </w:rPr>
              <w:t>25</w:t>
            </w:r>
            <w:r w:rsidRPr="00027B01">
              <w:rPr>
                <w:rFonts w:ascii="Gill Sans MT" w:hAnsi="Gill Sans MT"/>
                <w:bCs/>
                <w:sz w:val="20"/>
              </w:rPr>
              <w:fldChar w:fldCharType="end"/>
            </w: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0ABE0A48" w:rsidR="00F924DA" w:rsidRPr="00131B78" w:rsidRDefault="00E745D8" w:rsidP="00131B78">
            <w:pPr>
              <w:pStyle w:val="Pidipagina"/>
              <w:jc w:val="right"/>
              <w:rPr>
                <w:rFonts w:ascii="Gill Sans MT" w:hAnsi="Gill Sans MT"/>
                <w:bCs/>
                <w:sz w:val="20"/>
              </w:rPr>
            </w:pPr>
          </w:p>
        </w:sdtContent>
      </w:sdt>
    </w:sdtContent>
  </w:sdt>
  <w:p w14:paraId="4044F561" w14:textId="6C5C8439"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avviso di pre</w:t>
      </w:r>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A918" w14:textId="1A82BDE2" w:rsidR="00F924DA" w:rsidRDefault="00F924DA">
    <w:pPr>
      <w:pStyle w:val="Intestazione"/>
    </w:pPr>
  </w:p>
  <w:p w14:paraId="201ECC34" w14:textId="7D67CB21" w:rsidR="00F924DA" w:rsidRDefault="00F924DA">
    <w:pPr>
      <w:pStyle w:val="Intestazione"/>
    </w:pPr>
  </w:p>
  <w:p w14:paraId="588CB0B2" w14:textId="315DF4A9" w:rsidR="00F924DA" w:rsidRDefault="002222F4">
    <w:pPr>
      <w:pStyle w:val="Intestazione"/>
    </w:pPr>
    <w:r>
      <w:rPr>
        <w:noProof/>
      </w:rPr>
      <w:drawing>
        <wp:anchor distT="0" distB="0" distL="114300" distR="114300" simplePos="0" relativeHeight="251661312" behindDoc="1" locked="0" layoutInCell="1" allowOverlap="1" wp14:anchorId="4FE00499" wp14:editId="5D12F8CB">
          <wp:simplePos x="0" y="0"/>
          <wp:positionH relativeFrom="column">
            <wp:posOffset>746760</wp:posOffset>
          </wp:positionH>
          <wp:positionV relativeFrom="paragraph">
            <wp:posOffset>91440</wp:posOffset>
          </wp:positionV>
          <wp:extent cx="5608955" cy="676275"/>
          <wp:effectExtent l="0" t="0" r="0" b="0"/>
          <wp:wrapTight wrapText="bothSides">
            <wp:wrapPolygon edited="0">
              <wp:start x="12251" y="1825"/>
              <wp:lineTo x="1100" y="3042"/>
              <wp:lineTo x="1100" y="17645"/>
              <wp:lineTo x="18634" y="18862"/>
              <wp:lineTo x="19734" y="18862"/>
              <wp:lineTo x="19808" y="17645"/>
              <wp:lineTo x="20394" y="12777"/>
              <wp:lineTo x="20541" y="4868"/>
              <wp:lineTo x="19221" y="3042"/>
              <wp:lineTo x="13352" y="1825"/>
              <wp:lineTo x="12251" y="1825"/>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08955" cy="676275"/>
                  </a:xfrm>
                  <a:prstGeom prst="rect">
                    <a:avLst/>
                  </a:prstGeom>
                </pic:spPr>
              </pic:pic>
            </a:graphicData>
          </a:graphic>
        </wp:anchor>
      </w:drawing>
    </w:r>
    <w:r>
      <w:rPr>
        <w:noProof/>
      </w:rPr>
      <w:drawing>
        <wp:inline distT="0" distB="0" distL="0" distR="0" wp14:anchorId="468C5EF1" wp14:editId="5B60965A">
          <wp:extent cx="885825" cy="817406"/>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3455" cy="824446"/>
                  </a:xfrm>
                  <a:prstGeom prst="rect">
                    <a:avLst/>
                  </a:prstGeom>
                  <a:noFill/>
                  <a:ln>
                    <a:noFill/>
                  </a:ln>
                </pic:spPr>
              </pic:pic>
            </a:graphicData>
          </a:graphic>
        </wp:inline>
      </w:drawing>
    </w:r>
  </w:p>
  <w:p w14:paraId="792420CF" w14:textId="01F5D03A" w:rsidR="00F924DA" w:rsidRDefault="00F924DA">
    <w:pPr>
      <w:pStyle w:val="Intestazione"/>
    </w:pP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26A" w14:textId="31D1E248" w:rsidR="00F924DA" w:rsidRPr="00FA0479" w:rsidRDefault="00F924DA" w:rsidP="009817D3">
    <w:pPr>
      <w:pStyle w:val="Intestazione"/>
      <w:ind w:left="-284" w:firstLine="284"/>
      <w:rPr>
        <w:rFonts w:ascii="Gill Sans MT" w:hAnsi="Gill Sans MT"/>
      </w:rPr>
    </w:pPr>
  </w:p>
  <w:p w14:paraId="35B403F0" w14:textId="14C31436" w:rsidR="00F924DA" w:rsidRPr="00FA0479" w:rsidRDefault="002222F4" w:rsidP="009817D3">
    <w:pPr>
      <w:pStyle w:val="Intestazione"/>
      <w:ind w:left="-284" w:firstLine="284"/>
      <w:rPr>
        <w:rFonts w:ascii="Gill Sans MT" w:hAnsi="Gill Sans MT"/>
      </w:rPr>
    </w:pPr>
    <w:r>
      <w:rPr>
        <w:noProof/>
      </w:rPr>
      <w:drawing>
        <wp:anchor distT="0" distB="0" distL="114300" distR="114300" simplePos="0" relativeHeight="251659264" behindDoc="1" locked="0" layoutInCell="1" allowOverlap="1" wp14:anchorId="3C6DDCF2" wp14:editId="7806C5C6">
          <wp:simplePos x="0" y="0"/>
          <wp:positionH relativeFrom="column">
            <wp:posOffset>792480</wp:posOffset>
          </wp:positionH>
          <wp:positionV relativeFrom="paragraph">
            <wp:posOffset>76200</wp:posOffset>
          </wp:positionV>
          <wp:extent cx="5608955" cy="676275"/>
          <wp:effectExtent l="0" t="0" r="0" b="0"/>
          <wp:wrapTight wrapText="bothSides">
            <wp:wrapPolygon edited="0">
              <wp:start x="12251" y="1825"/>
              <wp:lineTo x="1100" y="3042"/>
              <wp:lineTo x="1100" y="17645"/>
              <wp:lineTo x="18634" y="18862"/>
              <wp:lineTo x="19734" y="18862"/>
              <wp:lineTo x="19808" y="17645"/>
              <wp:lineTo x="20394" y="12777"/>
              <wp:lineTo x="20541" y="4868"/>
              <wp:lineTo x="19221" y="3042"/>
              <wp:lineTo x="13352" y="1825"/>
              <wp:lineTo x="12251" y="1825"/>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08955" cy="676275"/>
                  </a:xfrm>
                  <a:prstGeom prst="rect">
                    <a:avLst/>
                  </a:prstGeom>
                </pic:spPr>
              </pic:pic>
            </a:graphicData>
          </a:graphic>
        </wp:anchor>
      </w:drawing>
    </w:r>
    <w:r>
      <w:rPr>
        <w:noProof/>
      </w:rPr>
      <w:drawing>
        <wp:inline distT="0" distB="0" distL="0" distR="0" wp14:anchorId="42E60ED1" wp14:editId="22D56319">
          <wp:extent cx="885825" cy="817406"/>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3455" cy="824446"/>
                  </a:xfrm>
                  <a:prstGeom prst="rect">
                    <a:avLst/>
                  </a:prstGeom>
                  <a:noFill/>
                  <a:ln>
                    <a:noFill/>
                  </a:ln>
                </pic:spPr>
              </pic:pic>
            </a:graphicData>
          </a:graphic>
        </wp:inline>
      </w:drawing>
    </w:r>
  </w:p>
  <w:p w14:paraId="5607DFC9" w14:textId="613A4DAF" w:rsidR="00F924DA" w:rsidRPr="00FA0479" w:rsidRDefault="00F924DA" w:rsidP="009817D3">
    <w:pPr>
      <w:pStyle w:val="Intestazione"/>
      <w:ind w:left="-284" w:firstLine="284"/>
      <w:rPr>
        <w:rFonts w:ascii="Gill Sans MT" w:hAnsi="Gill Sans MT"/>
      </w:rPr>
    </w:pPr>
  </w:p>
  <w:p w14:paraId="0720F472" w14:textId="432A8135"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009602837">
    <w:abstractNumId w:val="6"/>
  </w:num>
  <w:num w:numId="2" w16cid:durableId="1122505492">
    <w:abstractNumId w:val="2"/>
  </w:num>
  <w:num w:numId="3" w16cid:durableId="2073653124">
    <w:abstractNumId w:val="3"/>
  </w:num>
  <w:num w:numId="4" w16cid:durableId="1593122641">
    <w:abstractNumId w:val="4"/>
  </w:num>
  <w:num w:numId="5" w16cid:durableId="843251851">
    <w:abstractNumId w:val="5"/>
  </w:num>
  <w:num w:numId="6" w16cid:durableId="63260748">
    <w:abstractNumId w:val="7"/>
  </w:num>
  <w:num w:numId="7" w16cid:durableId="1955288921">
    <w:abstractNumId w:val="8"/>
  </w:num>
  <w:num w:numId="8" w16cid:durableId="1762487982">
    <w:abstractNumId w:val="9"/>
  </w:num>
  <w:num w:numId="9" w16cid:durableId="1856993010">
    <w:abstractNumId w:val="10"/>
  </w:num>
  <w:num w:numId="10" w16cid:durableId="1091513090">
    <w:abstractNumId w:val="11"/>
  </w:num>
  <w:num w:numId="11" w16cid:durableId="1781024608">
    <w:abstractNumId w:val="12"/>
  </w:num>
  <w:num w:numId="12" w16cid:durableId="106701251">
    <w:abstractNumId w:val="13"/>
  </w:num>
  <w:num w:numId="13" w16cid:durableId="691149149">
    <w:abstractNumId w:val="21"/>
  </w:num>
  <w:num w:numId="14" w16cid:durableId="1601179263">
    <w:abstractNumId w:val="14"/>
  </w:num>
  <w:num w:numId="15" w16cid:durableId="1012536393">
    <w:abstractNumId w:val="26"/>
  </w:num>
  <w:num w:numId="16" w16cid:durableId="1191648886">
    <w:abstractNumId w:val="27"/>
  </w:num>
  <w:num w:numId="17" w16cid:durableId="1047795514">
    <w:abstractNumId w:val="18"/>
  </w:num>
  <w:num w:numId="18" w16cid:durableId="1828324799">
    <w:abstractNumId w:val="23"/>
  </w:num>
  <w:num w:numId="19" w16cid:durableId="1013266947">
    <w:abstractNumId w:val="19"/>
  </w:num>
  <w:num w:numId="20" w16cid:durableId="1003319576">
    <w:abstractNumId w:val="28"/>
  </w:num>
  <w:num w:numId="21" w16cid:durableId="154031101">
    <w:abstractNumId w:val="24"/>
  </w:num>
  <w:num w:numId="22" w16cid:durableId="696200660">
    <w:abstractNumId w:val="29"/>
  </w:num>
  <w:num w:numId="23" w16cid:durableId="461505955">
    <w:abstractNumId w:val="22"/>
  </w:num>
  <w:num w:numId="24" w16cid:durableId="1100757203">
    <w:abstractNumId w:val="16"/>
  </w:num>
  <w:num w:numId="25" w16cid:durableId="1242059849">
    <w:abstractNumId w:val="17"/>
  </w:num>
  <w:num w:numId="26" w16cid:durableId="1678341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9308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008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6827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3038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5729146">
    <w:abstractNumId w:val="20"/>
  </w:num>
  <w:num w:numId="32" w16cid:durableId="300814476">
    <w:abstractNumId w:val="25"/>
  </w:num>
  <w:num w:numId="33" w16cid:durableId="19370577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A4DC6"/>
    <w:rsid w:val="000B04C5"/>
    <w:rsid w:val="000C6376"/>
    <w:rsid w:val="000E7D93"/>
    <w:rsid w:val="00123998"/>
    <w:rsid w:val="00125ECB"/>
    <w:rsid w:val="00131B78"/>
    <w:rsid w:val="001417D7"/>
    <w:rsid w:val="00150460"/>
    <w:rsid w:val="0015264C"/>
    <w:rsid w:val="001579E3"/>
    <w:rsid w:val="00157F6A"/>
    <w:rsid w:val="00165D5D"/>
    <w:rsid w:val="00177C81"/>
    <w:rsid w:val="001A6C6F"/>
    <w:rsid w:val="001D7A58"/>
    <w:rsid w:val="0020435D"/>
    <w:rsid w:val="00204EB1"/>
    <w:rsid w:val="002079A7"/>
    <w:rsid w:val="00216330"/>
    <w:rsid w:val="002222F4"/>
    <w:rsid w:val="002464B2"/>
    <w:rsid w:val="00260D50"/>
    <w:rsid w:val="0026224E"/>
    <w:rsid w:val="00263118"/>
    <w:rsid w:val="00277E09"/>
    <w:rsid w:val="002A406E"/>
    <w:rsid w:val="002B2938"/>
    <w:rsid w:val="002B3044"/>
    <w:rsid w:val="002C2F8B"/>
    <w:rsid w:val="002E48AC"/>
    <w:rsid w:val="002F125A"/>
    <w:rsid w:val="00372ECB"/>
    <w:rsid w:val="0039172E"/>
    <w:rsid w:val="003C1A43"/>
    <w:rsid w:val="003C4AEF"/>
    <w:rsid w:val="003D0545"/>
    <w:rsid w:val="003F3C53"/>
    <w:rsid w:val="00413D35"/>
    <w:rsid w:val="0043775E"/>
    <w:rsid w:val="00444A06"/>
    <w:rsid w:val="004464CA"/>
    <w:rsid w:val="0048717B"/>
    <w:rsid w:val="004A37B2"/>
    <w:rsid w:val="004A3FB5"/>
    <w:rsid w:val="004D4FD5"/>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7F49F8"/>
    <w:rsid w:val="00816853"/>
    <w:rsid w:val="0082136B"/>
    <w:rsid w:val="0089123E"/>
    <w:rsid w:val="0089301C"/>
    <w:rsid w:val="008E5EB7"/>
    <w:rsid w:val="008E7E10"/>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749BE"/>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745D8"/>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0562">
      <w:bodyDiv w:val="1"/>
      <w:marLeft w:val="0"/>
      <w:marRight w:val="0"/>
      <w:marTop w:val="0"/>
      <w:marBottom w:val="0"/>
      <w:divBdr>
        <w:top w:val="none" w:sz="0" w:space="0" w:color="auto"/>
        <w:left w:val="none" w:sz="0" w:space="0" w:color="auto"/>
        <w:bottom w:val="none" w:sz="0" w:space="0" w:color="auto"/>
        <w:right w:val="none" w:sz="0" w:space="0" w:color="auto"/>
      </w:divBdr>
    </w:div>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504F-3453-4303-97B7-42FE12C9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6750</Words>
  <Characters>38479</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13</cp:revision>
  <cp:lastPrinted>2019-07-31T16:27:00Z</cp:lastPrinted>
  <dcterms:created xsi:type="dcterms:W3CDTF">2019-08-05T13:24:00Z</dcterms:created>
  <dcterms:modified xsi:type="dcterms:W3CDTF">2022-07-26T12:48:00Z</dcterms:modified>
</cp:coreProperties>
</file>