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9B773" w14:textId="77777777" w:rsidR="004B137E" w:rsidRPr="008A5A15" w:rsidRDefault="004B137E" w:rsidP="004B1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</w:rPr>
      </w:pPr>
      <w:r w:rsidRPr="008A5A15">
        <w:rPr>
          <w:rFonts w:ascii="Titillium" w:hAnsi="Titillium" w:cs="Arial"/>
          <w:b/>
          <w:color w:val="003399"/>
        </w:rPr>
        <w:t xml:space="preserve">Programma FESR Lazio 2021- 2027 </w:t>
      </w:r>
    </w:p>
    <w:p w14:paraId="685F7B42" w14:textId="77777777" w:rsidR="004B137E" w:rsidRPr="007674AB" w:rsidRDefault="004B137E" w:rsidP="004B1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320893EE" w14:textId="77777777" w:rsidR="004B137E" w:rsidRPr="008A5A15" w:rsidRDefault="004B137E" w:rsidP="004B137E">
      <w:pPr>
        <w:pStyle w:val="Nessunaspaziatura"/>
        <w:spacing w:after="3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8A5A15">
        <w:rPr>
          <w:rFonts w:ascii="Titillium" w:hAnsi="Titillium" w:cs="Arial"/>
          <w:b/>
          <w:color w:val="003399"/>
          <w:sz w:val="22"/>
          <w:szCs w:val="22"/>
        </w:rPr>
        <w:t>DICHIARAZIONE RELATIVA ALL’INDETRAIBILITA’ IVA</w:t>
      </w:r>
    </w:p>
    <w:p w14:paraId="0E1FDC18" w14:textId="77777777" w:rsidR="004B137E" w:rsidRPr="00014C01" w:rsidRDefault="004B137E" w:rsidP="004B137E">
      <w:pPr>
        <w:tabs>
          <w:tab w:val="num" w:pos="6237"/>
        </w:tabs>
        <w:spacing w:after="12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014C0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774B34E5" w14:textId="77777777" w:rsidR="004B137E" w:rsidRPr="00014C01" w:rsidRDefault="004B137E" w:rsidP="004B137E">
      <w:pPr>
        <w:tabs>
          <w:tab w:val="num" w:pos="6237"/>
        </w:tabs>
        <w:spacing w:after="36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014C0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Lazio Innova </w:t>
      </w:r>
    </w:p>
    <w:p w14:paraId="1B392D87" w14:textId="77777777" w:rsidR="004B137E" w:rsidRPr="00014C01" w:rsidRDefault="004B137E" w:rsidP="004B137E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i/>
          <w:color w:val="002060"/>
          <w:sz w:val="20"/>
          <w:szCs w:val="20"/>
        </w:rPr>
      </w:pPr>
      <w:r w:rsidRPr="00014C01">
        <w:rPr>
          <w:rFonts w:ascii="Titillium" w:hAnsi="Titillium" w:cs="Arial"/>
          <w:b/>
          <w:sz w:val="20"/>
          <w:szCs w:val="20"/>
        </w:rPr>
        <w:t>Oggetto:</w:t>
      </w:r>
      <w:r w:rsidRPr="00014C01">
        <w:rPr>
          <w:rFonts w:ascii="Titillium" w:hAnsi="Titillium" w:cs="Arial"/>
          <w:b/>
          <w:sz w:val="20"/>
          <w:szCs w:val="20"/>
        </w:rPr>
        <w:tab/>
      </w:r>
      <w:r w:rsidRPr="00014C01">
        <w:rPr>
          <w:rFonts w:ascii="Titillium" w:hAnsi="Titillium" w:cs="Arial"/>
          <w:sz w:val="20"/>
          <w:szCs w:val="20"/>
        </w:rPr>
        <w:t xml:space="preserve">dichiarazione </w:t>
      </w:r>
      <w:r>
        <w:rPr>
          <w:rFonts w:ascii="Titillium" w:hAnsi="Titillium" w:cs="Arial"/>
          <w:sz w:val="20"/>
          <w:szCs w:val="20"/>
        </w:rPr>
        <w:t>relativa a</w:t>
      </w:r>
      <w:r w:rsidRPr="00014C01">
        <w:rPr>
          <w:rFonts w:ascii="Titillium" w:hAnsi="Titillium" w:cs="Arial"/>
          <w:sz w:val="20"/>
          <w:szCs w:val="20"/>
        </w:rPr>
        <w:t xml:space="preserve">ll’indetraibilità dell’IVA a corredo della </w:t>
      </w:r>
      <w:r w:rsidRPr="00014C01">
        <w:rPr>
          <w:rFonts w:ascii="Titillium" w:hAnsi="Titillium" w:cs="Arial"/>
          <w:b/>
          <w:sz w:val="20"/>
          <w:szCs w:val="20"/>
        </w:rPr>
        <w:t>Domanda</w:t>
      </w:r>
      <w:r w:rsidRPr="00014C01">
        <w:rPr>
          <w:rFonts w:ascii="Titillium" w:hAnsi="Titillium" w:cs="Arial"/>
          <w:sz w:val="20"/>
          <w:szCs w:val="20"/>
        </w:rPr>
        <w:t xml:space="preserve"> o richiesta di erogazione relativa al </w:t>
      </w:r>
      <w:r w:rsidRPr="00014C01">
        <w:rPr>
          <w:rFonts w:ascii="Titillium" w:hAnsi="Titillium" w:cs="Arial"/>
          <w:b/>
          <w:sz w:val="20"/>
          <w:szCs w:val="20"/>
        </w:rPr>
        <w:t xml:space="preserve">Progetto </w:t>
      </w:r>
      <w:r w:rsidRPr="00EC1BD1">
        <w:rPr>
          <w:rFonts w:ascii="Titillium" w:hAnsi="Titillium" w:cs="Arial"/>
          <w:i/>
          <w:color w:val="003399"/>
          <w:sz w:val="20"/>
          <w:szCs w:val="20"/>
        </w:rPr>
        <w:t>(denominazione Progetto)</w:t>
      </w:r>
      <w:r w:rsidRPr="00014C01">
        <w:rPr>
          <w:rFonts w:ascii="Titillium" w:hAnsi="Titillium" w:cs="Arial"/>
          <w:i/>
          <w:color w:val="002060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4B137E" w:rsidRPr="00014C01" w14:paraId="50811D36" w14:textId="77777777" w:rsidTr="008075BB">
        <w:trPr>
          <w:trHeight w:val="397"/>
        </w:trPr>
        <w:tc>
          <w:tcPr>
            <w:tcW w:w="2350" w:type="dxa"/>
            <w:gridSpan w:val="4"/>
            <w:hideMark/>
          </w:tcPr>
          <w:p w14:paraId="7B946317" w14:textId="77777777" w:rsidR="004B137E" w:rsidRPr="00014C01" w:rsidRDefault="004B137E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06AA5B66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4B137E" w:rsidRPr="00014C01" w14:paraId="46012FD5" w14:textId="77777777" w:rsidTr="008075BB">
        <w:trPr>
          <w:trHeight w:val="397"/>
        </w:trPr>
        <w:tc>
          <w:tcPr>
            <w:tcW w:w="1338" w:type="dxa"/>
            <w:gridSpan w:val="2"/>
            <w:hideMark/>
          </w:tcPr>
          <w:p w14:paraId="044A9390" w14:textId="77777777" w:rsidR="004B137E" w:rsidRPr="00953BB9" w:rsidRDefault="004B137E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C0BA0DA" w14:textId="77777777" w:rsidR="004B137E" w:rsidRPr="008A5A15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2526A51C" w14:textId="77777777" w:rsidR="004B137E" w:rsidRPr="00953BB9" w:rsidRDefault="004B137E" w:rsidP="008075BB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698FBD0" w14:textId="77777777" w:rsidR="004B137E" w:rsidRPr="00EC1BD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4B137E" w:rsidRPr="00014C01" w14:paraId="60D99D3E" w14:textId="77777777" w:rsidTr="008075BB">
        <w:trPr>
          <w:trHeight w:val="397"/>
        </w:trPr>
        <w:tc>
          <w:tcPr>
            <w:tcW w:w="1566" w:type="dxa"/>
            <w:gridSpan w:val="3"/>
            <w:hideMark/>
          </w:tcPr>
          <w:p w14:paraId="3694CCFB" w14:textId="77777777" w:rsidR="004B137E" w:rsidRPr="00953BB9" w:rsidRDefault="004B137E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0588816B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4B137E" w:rsidRPr="00014C01" w14:paraId="76160CE1" w14:textId="77777777" w:rsidTr="008075BB">
        <w:trPr>
          <w:trHeight w:val="397"/>
        </w:trPr>
        <w:tc>
          <w:tcPr>
            <w:tcW w:w="1566" w:type="dxa"/>
            <w:gridSpan w:val="3"/>
          </w:tcPr>
          <w:p w14:paraId="17723648" w14:textId="77777777" w:rsidR="004B137E" w:rsidRPr="00953BB9" w:rsidRDefault="004B137E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13992B12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4B137E" w:rsidRPr="00014C01" w14:paraId="5BAFDF9C" w14:textId="77777777" w:rsidTr="008075BB">
        <w:trPr>
          <w:trHeight w:val="397"/>
        </w:trPr>
        <w:tc>
          <w:tcPr>
            <w:tcW w:w="9632" w:type="dxa"/>
            <w:gridSpan w:val="9"/>
          </w:tcPr>
          <w:p w14:paraId="46F90E8C" w14:textId="77777777" w:rsidR="004B137E" w:rsidRPr="00953BB9" w:rsidRDefault="004B137E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</w:tr>
      <w:tr w:rsidR="004B137E" w:rsidRPr="00014C01" w14:paraId="7D634B15" w14:textId="77777777" w:rsidTr="008075BB">
        <w:trPr>
          <w:trHeight w:val="397"/>
        </w:trPr>
        <w:tc>
          <w:tcPr>
            <w:tcW w:w="3590" w:type="dxa"/>
            <w:gridSpan w:val="6"/>
          </w:tcPr>
          <w:p w14:paraId="052239D8" w14:textId="77777777" w:rsidR="004B137E" w:rsidRPr="00014C01" w:rsidRDefault="004B137E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Lavoratrice Autonoma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0D11C29A" w14:textId="77777777" w:rsidR="004B137E" w:rsidRPr="00014C01" w:rsidRDefault="004B137E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4B137E" w:rsidRPr="00014C01" w14:paraId="79B52CBC" w14:textId="77777777" w:rsidTr="008075BB">
        <w:trPr>
          <w:trHeight w:val="397"/>
        </w:trPr>
        <w:tc>
          <w:tcPr>
            <w:tcW w:w="3590" w:type="dxa"/>
            <w:gridSpan w:val="6"/>
            <w:hideMark/>
          </w:tcPr>
          <w:p w14:paraId="65446D39" w14:textId="77777777" w:rsidR="004B137E" w:rsidRPr="00014C01" w:rsidRDefault="004B137E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 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0D1F02A5" w14:textId="77777777" w:rsidR="004B137E" w:rsidRPr="00014C01" w:rsidRDefault="004B137E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8A5A1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B137E" w:rsidRPr="00014C01" w14:paraId="4FD7AF24" w14:textId="77777777" w:rsidTr="008075BB">
        <w:trPr>
          <w:trHeight w:val="397"/>
        </w:trPr>
        <w:tc>
          <w:tcPr>
            <w:tcW w:w="427" w:type="dxa"/>
            <w:hideMark/>
          </w:tcPr>
          <w:p w14:paraId="36821C5D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3886DD33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28E0B6F5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4B137E" w:rsidRPr="00014C01" w14:paraId="38465285" w14:textId="77777777" w:rsidTr="008075BB">
        <w:trPr>
          <w:trHeight w:val="397"/>
        </w:trPr>
        <w:tc>
          <w:tcPr>
            <w:tcW w:w="427" w:type="dxa"/>
          </w:tcPr>
          <w:p w14:paraId="2066E5A0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2683F408" w14:textId="77777777" w:rsidR="004B137E" w:rsidRPr="00953BB9" w:rsidRDefault="004B137E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2F35A6A2" w14:textId="77777777" w:rsidR="004B137E" w:rsidRPr="00014C01" w:rsidRDefault="004B137E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4B137E" w:rsidRPr="00014C01" w14:paraId="25D4E0E5" w14:textId="77777777" w:rsidTr="008075BB">
        <w:trPr>
          <w:trHeight w:val="146"/>
        </w:trPr>
        <w:tc>
          <w:tcPr>
            <w:tcW w:w="427" w:type="dxa"/>
          </w:tcPr>
          <w:p w14:paraId="7CD87E99" w14:textId="77777777" w:rsidR="004B137E" w:rsidRPr="00014C01" w:rsidRDefault="004B137E" w:rsidP="008075BB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187D9BF6" w14:textId="77777777" w:rsidR="004B137E" w:rsidRPr="00EC1BD1" w:rsidRDefault="004B137E" w:rsidP="008075BB">
            <w:pPr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72C47154" w14:textId="77777777" w:rsidR="004B137E" w:rsidRPr="007674AB" w:rsidRDefault="004B137E" w:rsidP="004B137E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CHIEDE</w:t>
      </w:r>
    </w:p>
    <w:p w14:paraId="753C8FEF" w14:textId="77777777" w:rsidR="004B137E" w:rsidRPr="00953BB9" w:rsidRDefault="004B137E" w:rsidP="004B137E">
      <w:pPr>
        <w:autoSpaceDE w:val="0"/>
        <w:autoSpaceDN w:val="0"/>
        <w:adjustRightInd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t xml:space="preserve">Che l’imposta sul valore aggiunto (IVA) sulle </w:t>
      </w:r>
      <w:r w:rsidRPr="00953BB9">
        <w:rPr>
          <w:rFonts w:ascii="Titillium" w:hAnsi="Titillium" w:cs="Arial"/>
          <w:b/>
          <w:bCs/>
          <w:color w:val="3C3C3C"/>
          <w:sz w:val="20"/>
          <w:szCs w:val="20"/>
        </w:rPr>
        <w:t>Spese da Rendicontare</w:t>
      </w:r>
      <w:r w:rsidRPr="00953BB9">
        <w:rPr>
          <w:rFonts w:ascii="Titillium" w:hAnsi="Titillium" w:cs="Arial"/>
          <w:color w:val="3C3C3C"/>
          <w:sz w:val="20"/>
          <w:szCs w:val="20"/>
        </w:rPr>
        <w:t xml:space="preserve"> sia considerata un costo ammissibile, in quanto</w:t>
      </w:r>
    </w:p>
    <w:p w14:paraId="2F6ABDBC" w14:textId="77777777" w:rsidR="004B137E" w:rsidRPr="008A5A15" w:rsidRDefault="004B137E" w:rsidP="004B137E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8A5A15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CFD9D28" w14:textId="77777777" w:rsidR="004B137E" w:rsidRPr="00953BB9" w:rsidRDefault="004B137E" w:rsidP="004B137E">
      <w:pPr>
        <w:spacing w:after="60"/>
        <w:jc w:val="center"/>
        <w:rPr>
          <w:rFonts w:ascii="Titillium" w:hAnsi="Titillium" w:cs="Arial"/>
          <w:color w:val="3C3C3C"/>
          <w:sz w:val="18"/>
          <w:szCs w:val="20"/>
        </w:rPr>
      </w:pPr>
      <w:r w:rsidRPr="00953BB9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</w:t>
      </w:r>
      <w:r w:rsidRPr="00953BB9">
        <w:rPr>
          <w:rFonts w:ascii="Titillium" w:hAnsi="Titillium" w:cs="Arial"/>
          <w:color w:val="3C3C3C"/>
          <w:sz w:val="18"/>
          <w:szCs w:val="20"/>
        </w:rPr>
        <w:t>,</w:t>
      </w:r>
    </w:p>
    <w:p w14:paraId="1882C26D" w14:textId="77777777" w:rsidR="004B137E" w:rsidRPr="00953BB9" w:rsidRDefault="004B137E" w:rsidP="004B137E">
      <w:pPr>
        <w:spacing w:after="240"/>
        <w:jc w:val="center"/>
        <w:rPr>
          <w:rFonts w:ascii="Titillium" w:hAnsi="Titillium"/>
          <w:b/>
          <w:bCs/>
          <w:color w:val="3C3C3C"/>
        </w:rPr>
      </w:pPr>
      <w:r w:rsidRPr="00953BB9">
        <w:rPr>
          <w:rFonts w:ascii="Titillium" w:hAnsi="Titillium" w:cs="Arial"/>
          <w:b/>
          <w:bCs/>
          <w:color w:val="3C3C3C"/>
          <w:sz w:val="18"/>
          <w:szCs w:val="20"/>
        </w:rPr>
        <w:t>consapevole delle sanzioni penali, nel caso di dichiarazioni non veritiere e falsità negli atti, richiamate dall’art. 76, consapevole altresì che, nel caso di dichiarazioni non veritiere e falsità negli atti, il dichiarante sopra indicato decadrà dai benefici per i quali la stessa dichiarazione è rilasciata</w:t>
      </w:r>
    </w:p>
    <w:p w14:paraId="6B69A098" w14:textId="77777777" w:rsidR="004B137E" w:rsidRPr="00EC1BD1" w:rsidRDefault="004B137E" w:rsidP="004B137E">
      <w:pPr>
        <w:autoSpaceDE w:val="0"/>
        <w:autoSpaceDN w:val="0"/>
        <w:adjustRightInd w:val="0"/>
        <w:spacing w:after="60"/>
        <w:rPr>
          <w:rFonts w:ascii="Titillium" w:hAnsi="Titillium" w:cs="Arial"/>
          <w:i/>
          <w:color w:val="003399"/>
          <w:sz w:val="20"/>
          <w:szCs w:val="20"/>
        </w:rPr>
      </w:pPr>
      <w:r w:rsidRPr="00EC1BD1">
        <w:rPr>
          <w:rFonts w:ascii="Titillium" w:hAnsi="Titillium" w:cs="Arial"/>
          <w:i/>
          <w:color w:val="003399"/>
          <w:sz w:val="20"/>
          <w:szCs w:val="20"/>
        </w:rPr>
        <w:t>(cancellare la dizione non pertinente e nel caso di indetraibilità parziale indicare la % di indetraibilità)</w:t>
      </w:r>
    </w:p>
    <w:p w14:paraId="4E42CE9F" w14:textId="77777777" w:rsidR="004B137E" w:rsidRPr="00953BB9" w:rsidRDefault="004B137E" w:rsidP="004B137E">
      <w:pPr>
        <w:pStyle w:val="Paragrafoelenco"/>
        <w:numPr>
          <w:ilvl w:val="0"/>
          <w:numId w:val="2"/>
        </w:numPr>
        <w:spacing w:after="120"/>
        <w:ind w:left="284" w:hanging="284"/>
        <w:contextualSpacing w:val="0"/>
        <w:rPr>
          <w:rFonts w:ascii="Titillium" w:hAnsi="Titillium" w:cs="Arial"/>
          <w:i/>
          <w:iCs/>
          <w:color w:val="003399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t>è interamente non detraibile (100%) per effetto della disciplina fiscale applicabile al</w:t>
      </w:r>
      <w:r w:rsidRPr="00953BB9">
        <w:rPr>
          <w:rFonts w:ascii="Titillium" w:hAnsi="Titillium"/>
          <w:color w:val="3C3C3C"/>
          <w:sz w:val="20"/>
          <w:szCs w:val="20"/>
        </w:rPr>
        <w:t>l’</w:t>
      </w:r>
      <w:r w:rsidRPr="00953BB9">
        <w:rPr>
          <w:rFonts w:ascii="Titillium" w:hAnsi="Titillium"/>
          <w:b/>
          <w:bCs/>
          <w:color w:val="3C3C3C"/>
          <w:sz w:val="20"/>
          <w:szCs w:val="20"/>
        </w:rPr>
        <w:t>Impresa Richiedente</w:t>
      </w:r>
      <w:r w:rsidRPr="00953BB9">
        <w:rPr>
          <w:rFonts w:ascii="Titillium" w:hAnsi="Titillium"/>
          <w:color w:val="3C3C3C"/>
          <w:sz w:val="20"/>
          <w:szCs w:val="20"/>
        </w:rPr>
        <w:t xml:space="preserve"> o alla </w:t>
      </w:r>
      <w:r w:rsidRPr="00953BB9">
        <w:rPr>
          <w:rFonts w:ascii="Titillium" w:hAnsi="Titillium"/>
          <w:b/>
          <w:bCs/>
          <w:color w:val="3C3C3C"/>
          <w:sz w:val="20"/>
          <w:szCs w:val="20"/>
        </w:rPr>
        <w:t>PMI Femminile Beneficiaria</w:t>
      </w:r>
      <w:r w:rsidRPr="00953BB9">
        <w:rPr>
          <w:rFonts w:ascii="Titillium" w:hAnsi="Titillium" w:cs="Arial"/>
          <w:color w:val="3C3C3C"/>
          <w:sz w:val="20"/>
          <w:szCs w:val="20"/>
        </w:rPr>
        <w:t xml:space="preserve"> è precisamente: </w:t>
      </w:r>
      <w:r w:rsidRPr="00953BB9">
        <w:rPr>
          <w:rFonts w:ascii="Titillium" w:hAnsi="Titillium" w:cs="Arial"/>
          <w:i/>
          <w:iCs/>
          <w:color w:val="003399"/>
          <w:sz w:val="20"/>
          <w:szCs w:val="20"/>
        </w:rPr>
        <w:t>(specificare)……</w:t>
      </w:r>
      <w:proofErr w:type="gramStart"/>
      <w:r w:rsidRPr="00953BB9">
        <w:rPr>
          <w:rFonts w:ascii="Titillium" w:hAnsi="Titillium" w:cs="Arial"/>
          <w:i/>
          <w:iCs/>
          <w:color w:val="003399"/>
          <w:sz w:val="20"/>
          <w:szCs w:val="20"/>
        </w:rPr>
        <w:t>… .</w:t>
      </w:r>
      <w:proofErr w:type="gramEnd"/>
    </w:p>
    <w:p w14:paraId="73FD76B6" w14:textId="77777777" w:rsidR="004B137E" w:rsidRPr="00953BB9" w:rsidRDefault="004B137E" w:rsidP="004B13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t xml:space="preserve">è parzialmente non detraibile, nella misura del ……. % per effetto della disciplina fiscale applicabile al </w:t>
      </w:r>
      <w:r w:rsidRPr="00953BB9">
        <w:rPr>
          <w:rFonts w:ascii="Titillium" w:hAnsi="Titillium" w:cs="Arial"/>
          <w:b/>
          <w:color w:val="3C3C3C"/>
          <w:sz w:val="20"/>
          <w:szCs w:val="20"/>
        </w:rPr>
        <w:t>Richiedente</w:t>
      </w:r>
      <w:r w:rsidRPr="00953BB9">
        <w:rPr>
          <w:rFonts w:ascii="Titillium" w:hAnsi="Titillium" w:cs="Arial"/>
          <w:color w:val="3C3C3C"/>
          <w:sz w:val="20"/>
          <w:szCs w:val="20"/>
        </w:rPr>
        <w:t xml:space="preserve"> e </w:t>
      </w:r>
      <w:r w:rsidRPr="00953BB9">
        <w:rPr>
          <w:rFonts w:ascii="Titillium" w:hAnsi="Titillium" w:cs="Arial"/>
          <w:b/>
          <w:color w:val="3C3C3C"/>
          <w:sz w:val="20"/>
          <w:szCs w:val="20"/>
        </w:rPr>
        <w:t>Beneficiario</w:t>
      </w:r>
      <w:r w:rsidRPr="00953BB9">
        <w:rPr>
          <w:rFonts w:ascii="Titillium" w:hAnsi="Titillium" w:cs="Arial"/>
          <w:color w:val="3C3C3C"/>
          <w:sz w:val="20"/>
          <w:szCs w:val="20"/>
        </w:rPr>
        <w:t xml:space="preserve"> è precisamente:</w:t>
      </w:r>
    </w:p>
    <w:p w14:paraId="5DC012DC" w14:textId="77777777" w:rsidR="004B137E" w:rsidRPr="00EC1BD1" w:rsidRDefault="004B137E" w:rsidP="004B137E">
      <w:pPr>
        <w:autoSpaceDE w:val="0"/>
        <w:autoSpaceDN w:val="0"/>
        <w:adjustRightInd w:val="0"/>
        <w:spacing w:after="60"/>
        <w:rPr>
          <w:rFonts w:ascii="Titillium" w:hAnsi="Titillium" w:cs="Arial"/>
          <w:i/>
          <w:color w:val="003399"/>
          <w:sz w:val="20"/>
          <w:szCs w:val="20"/>
        </w:rPr>
      </w:pPr>
      <w:r w:rsidRPr="00EC1BD1">
        <w:rPr>
          <w:rFonts w:ascii="Titillium" w:hAnsi="Titillium" w:cs="Arial"/>
          <w:i/>
          <w:color w:val="003399"/>
          <w:sz w:val="20"/>
          <w:szCs w:val="20"/>
        </w:rPr>
        <w:t>(cancellare le dizioni non pertinenti e completare)</w:t>
      </w:r>
    </w:p>
    <w:p w14:paraId="2CA06DBF" w14:textId="77777777" w:rsidR="004B137E" w:rsidRPr="00953BB9" w:rsidRDefault="004B137E" w:rsidP="004B137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  <w:shd w:val="clear" w:color="auto" w:fill="FFFFFF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 w:rsidRPr="00953BB9">
        <w:rPr>
          <w:rFonts w:ascii="Titillium" w:hAnsi="Titillium" w:cs="Arial"/>
          <w:color w:val="3C3C3C"/>
          <w:sz w:val="20"/>
          <w:szCs w:val="20"/>
        </w:rPr>
        <w:t xml:space="preserve">e ss. mm. e </w:t>
      </w:r>
      <w:proofErr w:type="gramStart"/>
      <w:r w:rsidRPr="00953BB9">
        <w:rPr>
          <w:rFonts w:ascii="Titillium" w:hAnsi="Titillium" w:cs="Arial"/>
          <w:color w:val="3C3C3C"/>
          <w:sz w:val="20"/>
          <w:szCs w:val="20"/>
        </w:rPr>
        <w:t>ii..</w:t>
      </w:r>
      <w:proofErr w:type="gramEnd"/>
    </w:p>
    <w:p w14:paraId="219EFA7A" w14:textId="77777777" w:rsidR="004B137E" w:rsidRPr="00953BB9" w:rsidRDefault="004B137E" w:rsidP="004B137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Titillium" w:hAnsi="Titillium" w:cs="Arial"/>
          <w:color w:val="3C3C3C"/>
          <w:sz w:val="20"/>
          <w:szCs w:val="20"/>
          <w:shd w:val="clear" w:color="auto" w:fill="FFFFFF"/>
        </w:rPr>
      </w:pPr>
      <w:r w:rsidRPr="00953BB9">
        <w:rPr>
          <w:rFonts w:ascii="Titillium" w:hAnsi="Titillium" w:cs="Arial"/>
          <w:color w:val="3C3C3C"/>
          <w:sz w:val="20"/>
          <w:szCs w:val="20"/>
          <w:shd w:val="clear" w:color="auto" w:fill="FFFFFF"/>
        </w:rPr>
        <w:t>in quanto viene svolta attività esente da IVA ex art. 10 del DPR 633/72.</w:t>
      </w:r>
    </w:p>
    <w:p w14:paraId="6AFBD5BC" w14:textId="77777777" w:rsidR="004B137E" w:rsidRPr="00953BB9" w:rsidRDefault="004B137E" w:rsidP="004B137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Titillium" w:hAnsi="Titillium" w:cs="Arial"/>
          <w:color w:val="003399"/>
          <w:sz w:val="20"/>
          <w:szCs w:val="20"/>
          <w:shd w:val="clear" w:color="auto" w:fill="FFFFFF"/>
        </w:rPr>
      </w:pPr>
      <w:r w:rsidRPr="00953BB9">
        <w:rPr>
          <w:rFonts w:ascii="Titillium" w:hAnsi="Titillium" w:cs="Arial"/>
          <w:color w:val="3C3C3C"/>
          <w:sz w:val="20"/>
          <w:szCs w:val="20"/>
          <w:shd w:val="clear" w:color="auto" w:fill="FFFFFF"/>
        </w:rPr>
        <w:t xml:space="preserve">altro </w:t>
      </w:r>
      <w:r w:rsidRPr="00953BB9">
        <w:rPr>
          <w:rFonts w:ascii="Titillium" w:hAnsi="Titillium" w:cs="Arial"/>
          <w:i/>
          <w:color w:val="003399"/>
          <w:sz w:val="20"/>
          <w:szCs w:val="20"/>
          <w:shd w:val="clear" w:color="auto" w:fill="FFFFFF"/>
        </w:rPr>
        <w:t>(specificare)</w:t>
      </w:r>
      <w:r w:rsidRPr="00953BB9">
        <w:rPr>
          <w:rFonts w:ascii="Titillium" w:hAnsi="Titillium" w:cs="Arial"/>
          <w:color w:val="003399"/>
          <w:sz w:val="20"/>
          <w:szCs w:val="20"/>
          <w:shd w:val="clear" w:color="auto" w:fill="FFFFFF"/>
        </w:rPr>
        <w:t>……</w:t>
      </w:r>
      <w:proofErr w:type="gramStart"/>
      <w:r w:rsidRPr="00953BB9">
        <w:rPr>
          <w:rFonts w:ascii="Titillium" w:hAnsi="Titillium" w:cs="Arial"/>
          <w:color w:val="003399"/>
          <w:sz w:val="20"/>
          <w:szCs w:val="20"/>
          <w:shd w:val="clear" w:color="auto" w:fill="FFFFFF"/>
        </w:rPr>
        <w:t>… .</w:t>
      </w:r>
      <w:proofErr w:type="gramEnd"/>
    </w:p>
    <w:p w14:paraId="5A438F12" w14:textId="77777777" w:rsidR="004B137E" w:rsidRPr="007674AB" w:rsidRDefault="004B137E" w:rsidP="004B137E">
      <w:pPr>
        <w:pStyle w:val="Standard"/>
        <w:spacing w:after="120"/>
        <w:jc w:val="center"/>
        <w:textAlignment w:val="baseline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E SI IMPEGNA A</w:t>
      </w:r>
    </w:p>
    <w:p w14:paraId="6CD49674" w14:textId="77777777" w:rsidR="004B137E" w:rsidRPr="00953BB9" w:rsidRDefault="004B137E" w:rsidP="004B137E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lastRenderedPageBreak/>
        <w:t>comunicare tempestivamente eventuali variazioni che dovessero intervenire a modificare la presente dichiarazione.</w:t>
      </w:r>
    </w:p>
    <w:p w14:paraId="329CD614" w14:textId="77777777" w:rsidR="004B137E" w:rsidRPr="00953BB9" w:rsidRDefault="004B137E" w:rsidP="004B137E">
      <w:pPr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953BB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45CD9382" w14:textId="77777777" w:rsidR="004B137E" w:rsidRPr="00953BB9" w:rsidRDefault="004B137E" w:rsidP="004B137E">
      <w:pPr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953BB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0EB47AB0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98896">
    <w:abstractNumId w:val="1"/>
  </w:num>
  <w:num w:numId="2" w16cid:durableId="1781295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7E"/>
    <w:rsid w:val="003E0582"/>
    <w:rsid w:val="004B137E"/>
    <w:rsid w:val="0098129C"/>
    <w:rsid w:val="00AD473A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26E5"/>
  <w15:chartTrackingRefBased/>
  <w15:docId w15:val="{12994A9D-1EBD-427F-8EDA-C456B74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13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1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1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B1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1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B1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B13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B13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B13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B13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B1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1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B1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137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B137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B137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B137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137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B137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B13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B1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B1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B1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B1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B137E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4B137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B137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B1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B137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B137E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4B137E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B137E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4B137E"/>
  </w:style>
  <w:style w:type="paragraph" w:customStyle="1" w:styleId="Standard">
    <w:name w:val="Standard"/>
    <w:rsid w:val="004B137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2024-04-18T06:59:00Z</dcterms:created>
  <dcterms:modified xsi:type="dcterms:W3CDTF">2024-04-18T08:01:00Z</dcterms:modified>
</cp:coreProperties>
</file>