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40AFE" w14:textId="77777777" w:rsidR="00AA76B3" w:rsidRPr="00A065C5" w:rsidRDefault="00AA76B3" w:rsidP="00AA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58B6922E" w14:textId="77777777" w:rsidR="00AA76B3" w:rsidRPr="00A065C5" w:rsidRDefault="00AA76B3" w:rsidP="00AA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6F12DBBB" w14:textId="77777777" w:rsidR="00AA76B3" w:rsidRPr="002C5DF0" w:rsidRDefault="00AA76B3" w:rsidP="00AA76B3">
      <w:pPr>
        <w:pStyle w:val="Titolo2"/>
        <w:tabs>
          <w:tab w:val="center" w:pos="4819"/>
          <w:tab w:val="left" w:pos="7122"/>
        </w:tabs>
        <w:spacing w:before="0" w:after="240" w:line="240" w:lineRule="auto"/>
        <w:rPr>
          <w:rFonts w:ascii="Titillium" w:hAnsi="Titillium"/>
          <w:color w:val="003399"/>
          <w:sz w:val="22"/>
          <w:szCs w:val="22"/>
          <w:lang w:val="it-IT"/>
        </w:rPr>
      </w:pPr>
      <w:r w:rsidRPr="00A065C5">
        <w:rPr>
          <w:rFonts w:ascii="Titillium" w:hAnsi="Titillium" w:cs="Arial"/>
          <w:color w:val="002060"/>
          <w:sz w:val="22"/>
          <w:szCs w:val="22"/>
          <w:lang w:val="it-IT"/>
        </w:rPr>
        <w:tab/>
      </w:r>
      <w:r w:rsidRPr="002C5DF0">
        <w:rPr>
          <w:rFonts w:ascii="Titillium" w:hAnsi="Titillium" w:cs="Arial"/>
          <w:color w:val="003399"/>
          <w:sz w:val="22"/>
          <w:szCs w:val="22"/>
          <w:lang w:val="it-IT"/>
        </w:rPr>
        <w:t xml:space="preserve">DICHIARAZIONI SUL PRINCIPIO DNSH </w:t>
      </w:r>
    </w:p>
    <w:p w14:paraId="418479CA" w14:textId="77777777" w:rsidR="00AA76B3" w:rsidRPr="00A065C5" w:rsidRDefault="00AA76B3" w:rsidP="00AA76B3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/>
        </w:rPr>
        <w:t xml:space="preserve">Spettabile </w:t>
      </w:r>
    </w:p>
    <w:p w14:paraId="124100BE" w14:textId="77777777" w:rsidR="00AA76B3" w:rsidRPr="00A065C5" w:rsidRDefault="00AA76B3" w:rsidP="00AA76B3">
      <w:pPr>
        <w:tabs>
          <w:tab w:val="num" w:pos="6237"/>
        </w:tabs>
        <w:spacing w:after="36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/>
        </w:rPr>
        <w:t>Lazio Innova</w:t>
      </w:r>
    </w:p>
    <w:p w14:paraId="62C64200" w14:textId="77777777" w:rsidR="00AA76B3" w:rsidRPr="00A065C5" w:rsidRDefault="00AA76B3" w:rsidP="00AA76B3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sz w:val="20"/>
          <w:szCs w:val="20"/>
          <w:lang w:val="it-IT"/>
        </w:rPr>
        <w:t>Oggetto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: dichiarazione sul rispetto del </w:t>
      </w:r>
      <w:r w:rsidRPr="00A065C5">
        <w:rPr>
          <w:rFonts w:ascii="Titillium" w:hAnsi="Titillium" w:cs="Arial"/>
          <w:b/>
          <w:bCs/>
          <w:sz w:val="20"/>
          <w:szCs w:val="20"/>
          <w:lang w:val="it-IT"/>
        </w:rPr>
        <w:t>Principio DNSH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"non nuocere in modo significativo" – “</w:t>
      </w:r>
      <w:r w:rsidRPr="00A065C5">
        <w:rPr>
          <w:rFonts w:ascii="Titillium" w:hAnsi="Titillium" w:cs="Arial"/>
          <w:i/>
          <w:iCs/>
          <w:sz w:val="20"/>
          <w:szCs w:val="20"/>
          <w:lang w:val="it-IT"/>
        </w:rPr>
        <w:t xml:space="preserve">Do No </w:t>
      </w:r>
      <w:proofErr w:type="spellStart"/>
      <w:r w:rsidRPr="00A065C5">
        <w:rPr>
          <w:rFonts w:ascii="Titillium" w:hAnsi="Titillium" w:cs="Arial"/>
          <w:i/>
          <w:iCs/>
          <w:sz w:val="20"/>
          <w:szCs w:val="20"/>
          <w:lang w:val="it-IT"/>
        </w:rPr>
        <w:t>Significant</w:t>
      </w:r>
      <w:proofErr w:type="spellEnd"/>
      <w:r w:rsidRPr="00A065C5">
        <w:rPr>
          <w:rFonts w:ascii="Titillium" w:hAnsi="Titillium" w:cs="Arial"/>
          <w:i/>
          <w:iCs/>
          <w:sz w:val="20"/>
          <w:szCs w:val="20"/>
          <w:lang w:val="it-IT"/>
        </w:rPr>
        <w:t xml:space="preserve"> </w:t>
      </w:r>
      <w:proofErr w:type="spellStart"/>
      <w:r w:rsidRPr="00A065C5">
        <w:rPr>
          <w:rFonts w:ascii="Titillium" w:hAnsi="Titillium" w:cs="Arial"/>
          <w:i/>
          <w:iCs/>
          <w:sz w:val="20"/>
          <w:szCs w:val="20"/>
          <w:lang w:val="it-IT"/>
        </w:rPr>
        <w:t>Harm</w:t>
      </w:r>
      <w:proofErr w:type="spellEnd"/>
      <w:r w:rsidRPr="00A065C5">
        <w:rPr>
          <w:rFonts w:ascii="Titillium" w:hAnsi="Titillium" w:cs="Arial"/>
          <w:i/>
          <w:iCs/>
          <w:sz w:val="20"/>
          <w:szCs w:val="20"/>
          <w:lang w:val="it-IT"/>
        </w:rPr>
        <w:t>”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relativa al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Progetto </w:t>
      </w:r>
      <w:r w:rsidRPr="00A065C5">
        <w:rPr>
          <w:rFonts w:ascii="Titillium" w:hAnsi="Titillium" w:cs="Arial"/>
          <w:sz w:val="20"/>
          <w:szCs w:val="20"/>
          <w:lang w:val="it-IT"/>
        </w:rPr>
        <w:t>(</w:t>
      </w:r>
      <w:r w:rsidRPr="002C65D1">
        <w:rPr>
          <w:rFonts w:ascii="Titillium" w:hAnsi="Titillium" w:cs="Arial"/>
          <w:i/>
          <w:color w:val="003399"/>
          <w:sz w:val="20"/>
          <w:szCs w:val="20"/>
          <w:lang w:val="it-IT"/>
        </w:rPr>
        <w:t>denominazione Progetto</w:t>
      </w:r>
      <w:r w:rsidRPr="00A065C5">
        <w:rPr>
          <w:rFonts w:ascii="Titillium" w:hAnsi="Titillium" w:cs="Arial"/>
          <w:sz w:val="20"/>
          <w:szCs w:val="20"/>
          <w:lang w:val="it-IT"/>
        </w:rPr>
        <w:t>).</w:t>
      </w:r>
    </w:p>
    <w:p w14:paraId="6ADEF70E" w14:textId="77777777" w:rsidR="00AA76B3" w:rsidRPr="00A06130" w:rsidRDefault="00AA76B3" w:rsidP="00AA76B3">
      <w:pPr>
        <w:spacing w:after="60" w:line="240" w:lineRule="auto"/>
        <w:jc w:val="center"/>
        <w:rPr>
          <w:rFonts w:ascii="Titillium" w:hAnsi="Titillium" w:cs="Arial"/>
          <w:b/>
          <w:color w:val="002060"/>
          <w:lang w:val="it-IT"/>
        </w:rPr>
      </w:pPr>
      <w:bookmarkStart w:id="0" w:name="_Hlk115798555"/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AA76B3" w:rsidRPr="00A065C5" w14:paraId="3E57961A" w14:textId="77777777" w:rsidTr="00D449E2">
        <w:trPr>
          <w:trHeight w:val="397"/>
        </w:trPr>
        <w:tc>
          <w:tcPr>
            <w:tcW w:w="2350" w:type="dxa"/>
            <w:gridSpan w:val="3"/>
            <w:hideMark/>
          </w:tcPr>
          <w:p w14:paraId="06B8B3FF" w14:textId="77777777" w:rsidR="00AA76B3" w:rsidRPr="00A065C5" w:rsidRDefault="00AA76B3" w:rsidP="00D449E2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76DE044B" w14:textId="77777777" w:rsidR="00AA76B3" w:rsidRPr="00A065C5" w:rsidRDefault="00AA76B3" w:rsidP="00D449E2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AA76B3" w:rsidRPr="00A065C5" w14:paraId="5F0D049E" w14:textId="77777777" w:rsidTr="00D449E2">
        <w:trPr>
          <w:trHeight w:val="397"/>
        </w:trPr>
        <w:tc>
          <w:tcPr>
            <w:tcW w:w="1566" w:type="dxa"/>
            <w:gridSpan w:val="2"/>
          </w:tcPr>
          <w:p w14:paraId="412629CE" w14:textId="77777777" w:rsidR="00AA76B3" w:rsidRPr="00A065C5" w:rsidRDefault="00AA76B3" w:rsidP="00D449E2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701E8CD0" w14:textId="77777777" w:rsidR="00AA76B3" w:rsidRPr="00A065C5" w:rsidRDefault="00AA76B3" w:rsidP="00D449E2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AA76B3" w:rsidRPr="003B7E3B" w14:paraId="1D7CDA3B" w14:textId="77777777" w:rsidTr="00D449E2">
        <w:trPr>
          <w:trHeight w:val="397"/>
        </w:trPr>
        <w:tc>
          <w:tcPr>
            <w:tcW w:w="9632" w:type="dxa"/>
            <w:gridSpan w:val="4"/>
          </w:tcPr>
          <w:p w14:paraId="11770162" w14:textId="77777777" w:rsidR="00AA76B3" w:rsidRPr="002C65D1" w:rsidRDefault="00AA76B3" w:rsidP="00D449E2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AA76B3" w:rsidRPr="003B7E3B" w14:paraId="1F807C6C" w14:textId="77777777" w:rsidTr="00D449E2">
        <w:trPr>
          <w:trHeight w:val="397"/>
        </w:trPr>
        <w:tc>
          <w:tcPr>
            <w:tcW w:w="9632" w:type="dxa"/>
            <w:gridSpan w:val="4"/>
          </w:tcPr>
          <w:p w14:paraId="59CCC3CD" w14:textId="77777777" w:rsidR="00AA76B3" w:rsidRPr="002C65D1" w:rsidRDefault="00AA76B3" w:rsidP="00D449E2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AA76B3" w:rsidRPr="00A065C5" w14:paraId="1BE9ADDF" w14:textId="77777777" w:rsidTr="00D449E2">
        <w:trPr>
          <w:trHeight w:val="397"/>
        </w:trPr>
        <w:tc>
          <w:tcPr>
            <w:tcW w:w="1560" w:type="dxa"/>
          </w:tcPr>
          <w:p w14:paraId="1F31F2C2" w14:textId="77777777" w:rsidR="00AA76B3" w:rsidRPr="00A065C5" w:rsidRDefault="00AA76B3" w:rsidP="00D449E2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5A3AC6CE" w14:textId="77777777" w:rsidR="00AA76B3" w:rsidRPr="00A065C5" w:rsidRDefault="00AA76B3" w:rsidP="00D449E2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6EC0001A" w14:textId="77777777" w:rsidR="00AA76B3" w:rsidRPr="00347F6F" w:rsidRDefault="00AA76B3" w:rsidP="00AA76B3">
      <w:pPr>
        <w:spacing w:before="240" w:after="6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347F6F">
        <w:rPr>
          <w:rFonts w:ascii="Titillium" w:hAnsi="Titillium" w:cs="Arial"/>
          <w:b/>
          <w:color w:val="003399"/>
          <w:lang w:val="it-IT"/>
        </w:rPr>
        <w:t>DICHIARA</w:t>
      </w:r>
    </w:p>
    <w:p w14:paraId="56D0D935" w14:textId="77777777" w:rsidR="00AA76B3" w:rsidRPr="00A065C5" w:rsidRDefault="00AA76B3" w:rsidP="00AA76B3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2529B886" w14:textId="77777777" w:rsidR="00AA76B3" w:rsidRPr="00A065C5" w:rsidRDefault="00AA76B3" w:rsidP="00AA76B3">
      <w:pPr>
        <w:spacing w:after="240" w:line="240" w:lineRule="auto"/>
        <w:jc w:val="center"/>
        <w:rPr>
          <w:rFonts w:ascii="Titillium" w:hAnsi="Titillium" w:cs="Arial"/>
          <w:b/>
          <w:color w:val="000000"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A065C5">
        <w:rPr>
          <w:rFonts w:ascii="Titillium" w:hAnsi="Titillium" w:cs="Arial"/>
          <w:b/>
          <w:color w:val="000000"/>
          <w:sz w:val="18"/>
          <w:szCs w:val="18"/>
          <w:lang w:val="it-IT"/>
        </w:rPr>
        <w:t>decadrà dai benefici per i quali la stessa dichiarazione è rilasciata</w:t>
      </w:r>
    </w:p>
    <w:bookmarkEnd w:id="0"/>
    <w:p w14:paraId="4C98A03B" w14:textId="77777777" w:rsidR="00AA76B3" w:rsidRDefault="00AA76B3" w:rsidP="00AA76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tillium" w:eastAsiaTheme="minorEastAsia" w:hAnsi="Titillium" w:cs="Arial"/>
          <w:color w:val="000000"/>
          <w:sz w:val="20"/>
          <w:szCs w:val="20"/>
          <w:lang w:val="it-IT"/>
        </w:rPr>
      </w:pPr>
      <w:r w:rsidRPr="00A065C5">
        <w:rPr>
          <w:rFonts w:ascii="Titillium" w:eastAsiaTheme="minorEastAsia" w:hAnsi="Titillium" w:cs="Arial"/>
          <w:color w:val="000000"/>
          <w:sz w:val="20"/>
          <w:szCs w:val="20"/>
          <w:lang w:val="it-IT"/>
        </w:rPr>
        <w:t xml:space="preserve">che il </w:t>
      </w:r>
      <w:r w:rsidRPr="00A065C5"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 xml:space="preserve">Progetto </w:t>
      </w:r>
      <w:r w:rsidRPr="00A065C5">
        <w:rPr>
          <w:rFonts w:ascii="Titillium" w:eastAsiaTheme="minorEastAsia" w:hAnsi="Titillium" w:cs="Arial"/>
          <w:color w:val="000000"/>
          <w:sz w:val="20"/>
          <w:szCs w:val="20"/>
          <w:lang w:val="it-IT"/>
        </w:rPr>
        <w:t xml:space="preserve">non riguarda una delle </w:t>
      </w:r>
      <w:r w:rsidRPr="00A065C5"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 xml:space="preserve">Attività </w:t>
      </w:r>
      <w:r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 xml:space="preserve">Economiche e Investimenti </w:t>
      </w:r>
      <w:r w:rsidRPr="00A065C5"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>Esclus</w:t>
      </w:r>
      <w:r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>i</w:t>
      </w:r>
      <w:r w:rsidRPr="00A065C5">
        <w:rPr>
          <w:rFonts w:ascii="Titillium" w:eastAsiaTheme="minorEastAsia" w:hAnsi="Titillium" w:cs="Arial"/>
          <w:color w:val="000000"/>
          <w:sz w:val="20"/>
          <w:szCs w:val="20"/>
          <w:lang w:val="it-IT"/>
        </w:rPr>
        <w:t>;</w:t>
      </w:r>
    </w:p>
    <w:p w14:paraId="1647D014" w14:textId="77777777" w:rsidR="00AA76B3" w:rsidRPr="00347F6F" w:rsidRDefault="00AA76B3" w:rsidP="00AA76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tillium" w:eastAsiaTheme="minorEastAsia" w:hAnsi="Titillium" w:cs="Arial"/>
          <w:color w:val="000000"/>
          <w:sz w:val="20"/>
          <w:szCs w:val="20"/>
          <w:lang w:val="it-IT"/>
        </w:rPr>
      </w:pPr>
      <w:r w:rsidRPr="00347F6F">
        <w:rPr>
          <w:rFonts w:ascii="Titillium" w:eastAsiaTheme="minorEastAsia" w:hAnsi="Titillium" w:cs="Arial"/>
          <w:color w:val="000000"/>
          <w:sz w:val="20"/>
          <w:szCs w:val="20"/>
          <w:lang w:val="it-IT"/>
        </w:rPr>
        <w:t xml:space="preserve">che nell’ambito della realizzazione del </w:t>
      </w:r>
      <w:r w:rsidRPr="00347F6F">
        <w:rPr>
          <w:rFonts w:ascii="Titillium" w:eastAsiaTheme="minorEastAsia" w:hAnsi="Titillium" w:cs="Arial"/>
          <w:b/>
          <w:bCs/>
          <w:color w:val="000000"/>
          <w:sz w:val="20"/>
          <w:szCs w:val="20"/>
          <w:lang w:val="it-IT"/>
        </w:rPr>
        <w:t>Progetto</w:t>
      </w:r>
      <w:r w:rsidRPr="00347F6F">
        <w:rPr>
          <w:rFonts w:ascii="Titillium" w:eastAsiaTheme="minorEastAsia" w:hAnsi="Titillium" w:cs="Arial"/>
          <w:color w:val="000000"/>
          <w:sz w:val="20"/>
          <w:szCs w:val="20"/>
          <w:lang w:val="it-IT"/>
        </w:rPr>
        <w:t xml:space="preserve">, sarà garantita la conformità giuridica dell’operazione, nel rispetto della legislazione ambientale applicabile nel seguito specificata: </w:t>
      </w:r>
    </w:p>
    <w:p w14:paraId="5C063E2B" w14:textId="77777777" w:rsidR="00AA76B3" w:rsidRPr="00347F6F" w:rsidRDefault="00AA76B3" w:rsidP="00AA76B3">
      <w:p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tillium" w:eastAsiaTheme="minorEastAsia" w:hAnsi="Titillium" w:cs="Arial"/>
          <w:i/>
          <w:iCs/>
          <w:color w:val="003399"/>
          <w:sz w:val="20"/>
          <w:szCs w:val="20"/>
          <w:lang w:val="it-IT"/>
        </w:rPr>
      </w:pPr>
      <w:r w:rsidRPr="00347F6F">
        <w:rPr>
          <w:rFonts w:ascii="Titillium" w:eastAsiaTheme="minorEastAsia" w:hAnsi="Titillium" w:cs="Arial"/>
          <w:i/>
          <w:iCs/>
          <w:color w:val="003399"/>
          <w:sz w:val="20"/>
          <w:szCs w:val="20"/>
          <w:lang w:val="it-IT"/>
        </w:rPr>
        <w:t>(descrivere la legislazione ambientale applicabile e il relativo avanzamento procedurale)</w:t>
      </w:r>
    </w:p>
    <w:p w14:paraId="768BEC95" w14:textId="77777777" w:rsidR="00AA76B3" w:rsidRPr="00DA3F54" w:rsidRDefault="00AA76B3" w:rsidP="00AA76B3">
      <w:pPr>
        <w:spacing w:after="120" w:line="240" w:lineRule="auto"/>
        <w:jc w:val="center"/>
        <w:rPr>
          <w:rFonts w:ascii="Titillium" w:hAnsi="Titillium" w:cs="Arial"/>
          <w:b/>
          <w:color w:val="003399"/>
        </w:rPr>
      </w:pPr>
      <w:r w:rsidRPr="00DA3F54">
        <w:rPr>
          <w:rFonts w:ascii="Titillium" w:hAnsi="Titillium" w:cs="Arial"/>
          <w:b/>
          <w:color w:val="003399"/>
        </w:rPr>
        <w:t>E ALLEGA</w:t>
      </w:r>
    </w:p>
    <w:p w14:paraId="70FFFEB8" w14:textId="77777777" w:rsidR="00AA76B3" w:rsidRPr="00E40A20" w:rsidRDefault="00AA76B3" w:rsidP="00AA76B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 w:hanging="284"/>
        <w:contextualSpacing w:val="0"/>
        <w:jc w:val="both"/>
        <w:rPr>
          <w:rFonts w:ascii="Titillium" w:eastAsiaTheme="minorEastAsia" w:hAnsi="Titillium" w:cs="Arial"/>
          <w:sz w:val="20"/>
          <w:szCs w:val="20"/>
          <w:lang w:val="it-IT"/>
        </w:rPr>
      </w:pPr>
      <w:r w:rsidRPr="00E40A20">
        <w:rPr>
          <w:rFonts w:ascii="Titillium" w:eastAsiaTheme="minorEastAsia" w:hAnsi="Titillium" w:cs="Arial"/>
          <w:sz w:val="20"/>
          <w:szCs w:val="20"/>
          <w:lang w:val="it-IT"/>
        </w:rPr>
        <w:t>la scheda di autovalutazione debitamente compilata e sottoscritta.</w:t>
      </w:r>
    </w:p>
    <w:p w14:paraId="27DBDCF2" w14:textId="77777777" w:rsidR="00AA76B3" w:rsidRPr="00A065C5" w:rsidRDefault="00AA76B3" w:rsidP="00AA76B3">
      <w:pPr>
        <w:autoSpaceDE w:val="0"/>
        <w:autoSpaceDN w:val="0"/>
        <w:adjustRightInd w:val="0"/>
        <w:spacing w:after="120" w:line="240" w:lineRule="auto"/>
        <w:jc w:val="both"/>
        <w:rPr>
          <w:rFonts w:ascii="Titillium" w:eastAsiaTheme="minorEastAsia" w:hAnsi="Titillium" w:cs="Arial"/>
          <w:color w:val="000000"/>
          <w:sz w:val="20"/>
          <w:szCs w:val="20"/>
          <w:lang w:val="it-IT"/>
        </w:rPr>
      </w:pPr>
    </w:p>
    <w:p w14:paraId="38B7EC62" w14:textId="77777777" w:rsidR="00AA76B3" w:rsidRPr="00A065C5" w:rsidRDefault="00AA76B3" w:rsidP="00AA76B3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Legale Rappresentante</w:t>
      </w:r>
    </w:p>
    <w:p w14:paraId="02F4357C" w14:textId="77777777" w:rsidR="00AA76B3" w:rsidRPr="00A065C5" w:rsidRDefault="00AA76B3" w:rsidP="00AA76B3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DATATO E SOTTOSCRITTO CON FIRMA DIGITALE</w:t>
      </w:r>
    </w:p>
    <w:p w14:paraId="6EA3C8AE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01ADC"/>
    <w:multiLevelType w:val="hybridMultilevel"/>
    <w:tmpl w:val="574A3E54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4CB12E7"/>
    <w:multiLevelType w:val="hybridMultilevel"/>
    <w:tmpl w:val="A9BE8440"/>
    <w:lvl w:ilvl="0" w:tplc="816233E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320080">
    <w:abstractNumId w:val="0"/>
  </w:num>
  <w:num w:numId="2" w16cid:durableId="1395078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6B3"/>
    <w:rsid w:val="003E0582"/>
    <w:rsid w:val="0076706B"/>
    <w:rsid w:val="0098129C"/>
    <w:rsid w:val="00AA76B3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CD43"/>
  <w15:chartTrackingRefBased/>
  <w15:docId w15:val="{89349576-289E-4A0D-B4B6-83A3EA99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6B3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7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A7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76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7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A76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A76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A76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A76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A76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A76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A76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76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A76B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A76B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A76B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A76B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A76B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A76B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76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7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A76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A7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A76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A76B3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AA76B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A76B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A76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A76B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A76B3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AA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2025-05-29T12:18:00Z</dcterms:created>
  <dcterms:modified xsi:type="dcterms:W3CDTF">2025-05-29T12:19:00Z</dcterms:modified>
</cp:coreProperties>
</file>